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14:anchorId="752DFC08" wp14:editId="002ABFB6">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rsidR="00092BB7" w:rsidRPr="002329A0" w:rsidRDefault="00092BB7" w:rsidP="002329A0">
      <w:pPr>
        <w:spacing w:after="0" w:line="240" w:lineRule="auto"/>
        <w:jc w:val="right"/>
        <w:rPr>
          <w:rFonts w:cstheme="minorHAnsi"/>
          <w:i/>
          <w:sz w:val="20"/>
          <w:szCs w:val="20"/>
        </w:rPr>
      </w:pPr>
    </w:p>
    <w:p w:rsidR="00092BB7" w:rsidRPr="00FD4CE8" w:rsidRDefault="00092BB7" w:rsidP="002329A0">
      <w:pPr>
        <w:spacing w:after="0" w:line="240" w:lineRule="auto"/>
        <w:jc w:val="right"/>
        <w:rPr>
          <w:rFonts w:cstheme="minorHAnsi"/>
          <w:sz w:val="20"/>
          <w:szCs w:val="20"/>
          <w:lang w:val="en-US"/>
        </w:rPr>
      </w:pPr>
      <w:r w:rsidRPr="001A3289">
        <w:rPr>
          <w:rFonts w:cstheme="minorHAnsi"/>
          <w:sz w:val="20"/>
          <w:szCs w:val="20"/>
          <w:lang w:val="en-US"/>
        </w:rPr>
        <w:t xml:space="preserve">Warsaw, </w:t>
      </w:r>
      <w:r w:rsidR="00FD4CE8" w:rsidRPr="001A3289">
        <w:rPr>
          <w:rFonts w:cstheme="minorHAnsi"/>
          <w:sz w:val="20"/>
          <w:szCs w:val="20"/>
          <w:lang w:val="en-US"/>
        </w:rPr>
        <w:t>27</w:t>
      </w:r>
      <w:r w:rsidR="004E53B1" w:rsidRPr="001A3289">
        <w:rPr>
          <w:rFonts w:cstheme="minorHAnsi"/>
          <w:sz w:val="20"/>
          <w:szCs w:val="20"/>
          <w:lang w:val="en-US"/>
        </w:rPr>
        <w:t>.04.2021</w:t>
      </w:r>
    </w:p>
    <w:p w:rsidR="00092BB7" w:rsidRPr="00FD4CE8" w:rsidRDefault="00092BB7" w:rsidP="002329A0">
      <w:pPr>
        <w:autoSpaceDE w:val="0"/>
        <w:autoSpaceDN w:val="0"/>
        <w:adjustRightInd w:val="0"/>
        <w:spacing w:after="0" w:line="240" w:lineRule="auto"/>
        <w:jc w:val="both"/>
        <w:rPr>
          <w:rFonts w:cstheme="minorHAnsi"/>
          <w:sz w:val="20"/>
          <w:szCs w:val="20"/>
          <w:lang w:val="en-US"/>
        </w:rPr>
      </w:pPr>
    </w:p>
    <w:p w:rsidR="00092BB7" w:rsidRPr="00FD4CE8" w:rsidRDefault="00092BB7" w:rsidP="002329A0">
      <w:pPr>
        <w:autoSpaceDE w:val="0"/>
        <w:autoSpaceDN w:val="0"/>
        <w:adjustRightInd w:val="0"/>
        <w:spacing w:after="0" w:line="240" w:lineRule="auto"/>
        <w:jc w:val="center"/>
        <w:rPr>
          <w:rFonts w:cstheme="minorHAnsi"/>
          <w:b/>
          <w:bCs/>
          <w:caps/>
          <w:sz w:val="20"/>
          <w:szCs w:val="20"/>
          <w:lang w:val="en-US"/>
        </w:rPr>
      </w:pPr>
      <w:r w:rsidRPr="00FD4CE8">
        <w:rPr>
          <w:rFonts w:cstheme="minorHAnsi"/>
          <w:b/>
          <w:bCs/>
          <w:caps/>
          <w:sz w:val="20"/>
          <w:szCs w:val="20"/>
          <w:lang w:val="en-US"/>
        </w:rPr>
        <w:t xml:space="preserve">Inquiry No. </w:t>
      </w:r>
      <w:r w:rsidR="00F40455">
        <w:rPr>
          <w:rFonts w:cstheme="minorHAnsi"/>
          <w:b/>
          <w:bCs/>
          <w:caps/>
          <w:sz w:val="20"/>
          <w:szCs w:val="20"/>
          <w:lang w:val="en-US"/>
        </w:rPr>
        <w:t>41</w:t>
      </w:r>
      <w:r w:rsidRPr="00FD4CE8">
        <w:rPr>
          <w:rFonts w:cstheme="minorHAnsi"/>
          <w:b/>
          <w:bCs/>
          <w:caps/>
          <w:sz w:val="20"/>
          <w:szCs w:val="20"/>
          <w:lang w:val="en-US"/>
        </w:rPr>
        <w:t>/</w:t>
      </w:r>
      <w:r w:rsidR="00F40455">
        <w:rPr>
          <w:rFonts w:cstheme="minorHAnsi"/>
          <w:b/>
          <w:bCs/>
          <w:caps/>
          <w:sz w:val="20"/>
          <w:szCs w:val="20"/>
          <w:lang w:val="en-US"/>
        </w:rPr>
        <w:t>2021</w:t>
      </w:r>
      <w:bookmarkStart w:id="0" w:name="_GoBack"/>
      <w:bookmarkEnd w:id="0"/>
    </w:p>
    <w:p w:rsidR="00092BB7" w:rsidRPr="00FD4CE8" w:rsidRDefault="00092BB7" w:rsidP="002329A0">
      <w:pPr>
        <w:autoSpaceDE w:val="0"/>
        <w:autoSpaceDN w:val="0"/>
        <w:adjustRightInd w:val="0"/>
        <w:spacing w:after="0" w:line="240" w:lineRule="auto"/>
        <w:jc w:val="center"/>
        <w:rPr>
          <w:rFonts w:cstheme="minorHAnsi"/>
          <w:sz w:val="20"/>
          <w:szCs w:val="20"/>
          <w:lang w:val="en-US"/>
        </w:rPr>
      </w:pPr>
      <w:r w:rsidRPr="00FD4CE8">
        <w:rPr>
          <w:rFonts w:cstheme="minorHAnsi"/>
          <w:sz w:val="20"/>
          <w:szCs w:val="20"/>
          <w:lang w:val="en-US"/>
        </w:rPr>
        <w:t xml:space="preserve">for </w:t>
      </w:r>
      <w:r w:rsidR="00F4300A" w:rsidRPr="00FD4CE8">
        <w:rPr>
          <w:rFonts w:cstheme="minorHAnsi"/>
          <w:sz w:val="20"/>
          <w:szCs w:val="20"/>
          <w:lang w:val="en-US"/>
        </w:rPr>
        <w:t>service</w:t>
      </w:r>
    </w:p>
    <w:p w:rsidR="004E53B1" w:rsidRPr="00FD4CE8" w:rsidRDefault="004E53B1" w:rsidP="002329A0">
      <w:pPr>
        <w:autoSpaceDE w:val="0"/>
        <w:autoSpaceDN w:val="0"/>
        <w:adjustRightInd w:val="0"/>
        <w:spacing w:after="0" w:line="240" w:lineRule="auto"/>
        <w:jc w:val="center"/>
        <w:rPr>
          <w:rFonts w:cstheme="minorHAnsi"/>
          <w:sz w:val="20"/>
          <w:szCs w:val="20"/>
          <w:lang w:val="en-US"/>
        </w:rPr>
      </w:pPr>
    </w:p>
    <w:p w:rsidR="00092BB7" w:rsidRPr="00FD4CE8" w:rsidRDefault="004E53B1" w:rsidP="002329A0">
      <w:pPr>
        <w:autoSpaceDE w:val="0"/>
        <w:autoSpaceDN w:val="0"/>
        <w:adjustRightInd w:val="0"/>
        <w:spacing w:after="0" w:line="240" w:lineRule="auto"/>
        <w:jc w:val="center"/>
        <w:rPr>
          <w:rFonts w:cstheme="minorHAnsi"/>
          <w:sz w:val="20"/>
          <w:szCs w:val="20"/>
          <w:lang w:val="en-US"/>
        </w:rPr>
      </w:pPr>
      <w:r w:rsidRPr="007F1E6E">
        <w:rPr>
          <w:rFonts w:ascii="Calibri" w:hAnsi="Calibri" w:cs="Calibri"/>
          <w:b/>
          <w:lang w:val="en-US"/>
        </w:rPr>
        <w:t>routine rodent health monitoring mice and rats, acc. FELASA</w:t>
      </w:r>
    </w:p>
    <w:p w:rsidR="00092BB7" w:rsidRPr="00FD4CE8" w:rsidRDefault="00092BB7" w:rsidP="002329A0">
      <w:pPr>
        <w:autoSpaceDE w:val="0"/>
        <w:autoSpaceDN w:val="0"/>
        <w:adjustRightInd w:val="0"/>
        <w:spacing w:after="0" w:line="240" w:lineRule="auto"/>
        <w:jc w:val="center"/>
        <w:rPr>
          <w:rFonts w:cstheme="minorHAnsi"/>
          <w:sz w:val="20"/>
          <w:szCs w:val="20"/>
          <w:lang w:val="en-US"/>
        </w:rPr>
      </w:pPr>
      <w:r w:rsidRPr="00FD4CE8">
        <w:rPr>
          <w:rFonts w:cstheme="minorHAnsi"/>
          <w:sz w:val="20"/>
          <w:szCs w:val="20"/>
          <w:lang w:val="en-US"/>
        </w:rPr>
        <w:t>to the Marceli Nencki Institute of Experimental Biology</w:t>
      </w:r>
    </w:p>
    <w:p w:rsidR="00092BB7" w:rsidRPr="00FD4CE8" w:rsidRDefault="00092BB7" w:rsidP="002329A0">
      <w:pPr>
        <w:autoSpaceDE w:val="0"/>
        <w:autoSpaceDN w:val="0"/>
        <w:adjustRightInd w:val="0"/>
        <w:spacing w:after="0" w:line="240" w:lineRule="auto"/>
        <w:jc w:val="center"/>
        <w:rPr>
          <w:rFonts w:cstheme="minorHAnsi"/>
          <w:sz w:val="20"/>
          <w:szCs w:val="20"/>
          <w:lang w:val="en-US"/>
        </w:rPr>
      </w:pPr>
      <w:r w:rsidRPr="00FD4CE8">
        <w:rPr>
          <w:rFonts w:cstheme="minorHAnsi"/>
          <w:sz w:val="20"/>
          <w:szCs w:val="20"/>
          <w:lang w:val="en-US"/>
        </w:rPr>
        <w:t xml:space="preserve"> Polish Academy of Sciences</w:t>
      </w:r>
    </w:p>
    <w:p w:rsidR="00092BB7" w:rsidRPr="00FD4CE8" w:rsidRDefault="00092BB7" w:rsidP="002329A0">
      <w:pPr>
        <w:autoSpaceDE w:val="0"/>
        <w:autoSpaceDN w:val="0"/>
        <w:adjustRightInd w:val="0"/>
        <w:spacing w:after="0" w:line="240" w:lineRule="auto"/>
        <w:jc w:val="center"/>
        <w:rPr>
          <w:rFonts w:cstheme="minorHAnsi"/>
          <w:sz w:val="20"/>
          <w:szCs w:val="20"/>
          <w:lang w:val="en-US"/>
        </w:rPr>
      </w:pPr>
    </w:p>
    <w:p w:rsidR="00092BB7" w:rsidRPr="00FD4CE8" w:rsidRDefault="00092BB7" w:rsidP="002329A0">
      <w:pPr>
        <w:autoSpaceDE w:val="0"/>
        <w:autoSpaceDN w:val="0"/>
        <w:adjustRightInd w:val="0"/>
        <w:spacing w:after="0" w:line="240" w:lineRule="auto"/>
        <w:rPr>
          <w:rFonts w:cstheme="minorHAnsi"/>
          <w:sz w:val="20"/>
          <w:szCs w:val="20"/>
          <w:lang w:val="en-US"/>
        </w:rPr>
      </w:pPr>
      <w:r w:rsidRPr="00FD4CE8">
        <w:rPr>
          <w:rFonts w:cstheme="minorHAnsi"/>
          <w:b/>
          <w:bCs/>
          <w:sz w:val="20"/>
          <w:szCs w:val="20"/>
          <w:lang w:val="en-US"/>
        </w:rPr>
        <w:t>Ordering Party:</w:t>
      </w:r>
      <w:r w:rsidRPr="00FD4CE8">
        <w:rPr>
          <w:rFonts w:cstheme="minorHAnsi"/>
          <w:sz w:val="20"/>
          <w:szCs w:val="20"/>
          <w:lang w:val="en-US"/>
        </w:rPr>
        <w:t xml:space="preserve"> M. Nencki Institute of Experimental Biology PAS,</w:t>
      </w:r>
    </w:p>
    <w:p w:rsidR="00092BB7" w:rsidRPr="00FD4CE8" w:rsidRDefault="00092BB7" w:rsidP="002329A0">
      <w:pPr>
        <w:autoSpaceDE w:val="0"/>
        <w:autoSpaceDN w:val="0"/>
        <w:adjustRightInd w:val="0"/>
        <w:spacing w:after="0" w:line="240" w:lineRule="auto"/>
        <w:rPr>
          <w:rFonts w:cstheme="minorHAnsi"/>
          <w:sz w:val="20"/>
          <w:szCs w:val="20"/>
          <w:lang w:val="en-US"/>
        </w:rPr>
      </w:pPr>
      <w:r w:rsidRPr="00FD4CE8">
        <w:rPr>
          <w:rFonts w:cstheme="minorHAnsi"/>
          <w:sz w:val="20"/>
          <w:szCs w:val="20"/>
          <w:lang w:val="en-US"/>
        </w:rPr>
        <w:t>with registered office at 3 Pasteura Street, Warsaw (02-093), NIP:525-000-92-69, REGON 000325825</w:t>
      </w:r>
    </w:p>
    <w:p w:rsidR="00092BB7" w:rsidRPr="00FD4CE8" w:rsidRDefault="00092BB7" w:rsidP="002329A0">
      <w:pPr>
        <w:autoSpaceDE w:val="0"/>
        <w:autoSpaceDN w:val="0"/>
        <w:adjustRightInd w:val="0"/>
        <w:spacing w:after="0" w:line="240" w:lineRule="auto"/>
        <w:rPr>
          <w:rFonts w:cstheme="minorHAnsi"/>
          <w:sz w:val="20"/>
          <w:szCs w:val="20"/>
          <w:lang w:val="en-US"/>
        </w:rPr>
      </w:pPr>
    </w:p>
    <w:p w:rsidR="00092BB7" w:rsidRPr="00FD4CE8" w:rsidRDefault="00092BB7" w:rsidP="002329A0">
      <w:pPr>
        <w:autoSpaceDE w:val="0"/>
        <w:autoSpaceDN w:val="0"/>
        <w:adjustRightInd w:val="0"/>
        <w:spacing w:after="0" w:line="240" w:lineRule="auto"/>
        <w:rPr>
          <w:rFonts w:cstheme="minorHAnsi"/>
          <w:sz w:val="20"/>
          <w:szCs w:val="20"/>
          <w:lang w:val="en-US"/>
        </w:rPr>
      </w:pPr>
      <w:r w:rsidRPr="00FD4CE8">
        <w:rPr>
          <w:rFonts w:cstheme="minorHAnsi"/>
          <w:sz w:val="20"/>
          <w:szCs w:val="20"/>
          <w:lang w:val="en-US"/>
        </w:rPr>
        <w:t>Procurement contact person</w:t>
      </w:r>
      <w:r w:rsidR="004E53B1" w:rsidRPr="00FD4CE8">
        <w:rPr>
          <w:rFonts w:cstheme="minorHAnsi"/>
          <w:sz w:val="20"/>
          <w:szCs w:val="20"/>
          <w:lang w:val="en-US"/>
        </w:rPr>
        <w:t>:  Anna Zajfert</w:t>
      </w:r>
    </w:p>
    <w:p w:rsidR="00092BB7" w:rsidRPr="00FD4CE8" w:rsidRDefault="00092BB7" w:rsidP="002329A0">
      <w:pPr>
        <w:autoSpaceDE w:val="0"/>
        <w:autoSpaceDN w:val="0"/>
        <w:adjustRightInd w:val="0"/>
        <w:spacing w:after="0" w:line="240" w:lineRule="auto"/>
        <w:rPr>
          <w:rFonts w:cstheme="minorHAnsi"/>
          <w:sz w:val="20"/>
          <w:szCs w:val="20"/>
          <w:lang w:val="en-US"/>
        </w:rPr>
      </w:pPr>
      <w:r w:rsidRPr="00FD4CE8">
        <w:rPr>
          <w:rFonts w:cstheme="minorHAnsi"/>
          <w:sz w:val="20"/>
          <w:szCs w:val="20"/>
          <w:lang w:val="en-US"/>
        </w:rPr>
        <w:t xml:space="preserve">e-mail: </w:t>
      </w:r>
      <w:r w:rsidR="004E53B1" w:rsidRPr="00FD4CE8">
        <w:rPr>
          <w:rFonts w:cstheme="minorHAnsi"/>
          <w:sz w:val="20"/>
          <w:szCs w:val="20"/>
          <w:lang w:val="en-US"/>
        </w:rPr>
        <w:t>a.zajfert@nencki.edu.pl</w:t>
      </w:r>
    </w:p>
    <w:p w:rsidR="00092BB7" w:rsidRPr="00FD4CE8" w:rsidRDefault="00092BB7" w:rsidP="002329A0">
      <w:pPr>
        <w:autoSpaceDE w:val="0"/>
        <w:autoSpaceDN w:val="0"/>
        <w:adjustRightInd w:val="0"/>
        <w:spacing w:after="0" w:line="240" w:lineRule="auto"/>
        <w:rPr>
          <w:rFonts w:cstheme="minorHAnsi"/>
          <w:sz w:val="20"/>
          <w:szCs w:val="20"/>
          <w:lang w:val="en-US"/>
        </w:rPr>
      </w:pPr>
      <w:r w:rsidRPr="00FD4CE8">
        <w:rPr>
          <w:rFonts w:cstheme="minorHAnsi"/>
          <w:sz w:val="20"/>
          <w:szCs w:val="20"/>
          <w:lang w:val="en-US"/>
        </w:rPr>
        <w:t xml:space="preserve">Deadline for submission of bids: </w:t>
      </w:r>
      <w:r w:rsidRPr="00FD4CE8">
        <w:rPr>
          <w:rFonts w:cstheme="minorHAnsi"/>
          <w:b/>
          <w:bCs/>
          <w:sz w:val="20"/>
          <w:szCs w:val="20"/>
          <w:lang w:val="en-US"/>
        </w:rPr>
        <w:t xml:space="preserve">no later than </w:t>
      </w:r>
      <w:r w:rsidR="00FD4CE8">
        <w:rPr>
          <w:rFonts w:cstheme="minorHAnsi"/>
          <w:b/>
          <w:bCs/>
          <w:sz w:val="20"/>
          <w:szCs w:val="20"/>
          <w:lang w:val="en-US"/>
        </w:rPr>
        <w:t>06</w:t>
      </w:r>
      <w:r w:rsidR="004E53B1" w:rsidRPr="00FD4CE8">
        <w:rPr>
          <w:rFonts w:cstheme="minorHAnsi"/>
          <w:b/>
          <w:bCs/>
          <w:sz w:val="20"/>
          <w:szCs w:val="20"/>
          <w:lang w:val="en-US"/>
        </w:rPr>
        <w:t>.0</w:t>
      </w:r>
      <w:r w:rsidR="00FD4CE8">
        <w:rPr>
          <w:rFonts w:cstheme="minorHAnsi"/>
          <w:b/>
          <w:bCs/>
          <w:sz w:val="20"/>
          <w:szCs w:val="20"/>
          <w:lang w:val="en-US"/>
        </w:rPr>
        <w:t>5.2021, by 12:</w:t>
      </w:r>
      <w:r w:rsidR="004E53B1" w:rsidRPr="00FD4CE8">
        <w:rPr>
          <w:rFonts w:cstheme="minorHAnsi"/>
          <w:b/>
          <w:bCs/>
          <w:sz w:val="20"/>
          <w:szCs w:val="20"/>
          <w:lang w:val="en-US"/>
        </w:rPr>
        <w:t>00</w:t>
      </w:r>
    </w:p>
    <w:p w:rsidR="00F4300A" w:rsidRPr="00FD4CE8" w:rsidRDefault="00F4300A" w:rsidP="00F4300A">
      <w:pPr>
        <w:autoSpaceDE w:val="0"/>
        <w:autoSpaceDN w:val="0"/>
        <w:adjustRightInd w:val="0"/>
        <w:spacing w:after="0" w:line="240" w:lineRule="auto"/>
        <w:jc w:val="both"/>
        <w:rPr>
          <w:rFonts w:cstheme="minorHAnsi"/>
          <w:b/>
          <w:bCs/>
          <w:sz w:val="20"/>
          <w:szCs w:val="20"/>
          <w:lang w:val="en-US"/>
        </w:rPr>
      </w:pPr>
      <w:r w:rsidRPr="00FD4CE8">
        <w:rPr>
          <w:rFonts w:cstheme="minorHAnsi"/>
          <w:b/>
          <w:bCs/>
          <w:sz w:val="20"/>
          <w:szCs w:val="20"/>
          <w:lang w:val="en-US"/>
        </w:rPr>
        <w:t>I. Description of the subject matter of the contract:</w:t>
      </w:r>
    </w:p>
    <w:p w:rsidR="004E53B1" w:rsidRPr="00FD4CE8" w:rsidRDefault="00F4300A" w:rsidP="00F4300A">
      <w:pPr>
        <w:autoSpaceDE w:val="0"/>
        <w:autoSpaceDN w:val="0"/>
        <w:adjustRightInd w:val="0"/>
        <w:spacing w:after="0" w:line="240" w:lineRule="auto"/>
        <w:rPr>
          <w:rFonts w:cstheme="minorHAnsi"/>
          <w:sz w:val="20"/>
          <w:szCs w:val="20"/>
          <w:lang w:val="en-US"/>
        </w:rPr>
      </w:pPr>
      <w:r w:rsidRPr="00FD4CE8">
        <w:rPr>
          <w:rFonts w:cstheme="minorHAnsi"/>
          <w:sz w:val="20"/>
          <w:szCs w:val="20"/>
          <w:lang w:val="en-US"/>
        </w:rPr>
        <w:t xml:space="preserve">The subject matter of the contract </w:t>
      </w:r>
      <w:r w:rsidR="004E53B1" w:rsidRPr="00FD4CE8">
        <w:rPr>
          <w:rFonts w:cstheme="minorHAnsi"/>
          <w:sz w:val="20"/>
          <w:szCs w:val="20"/>
          <w:lang w:val="en-US"/>
        </w:rPr>
        <w:t>is:</w:t>
      </w:r>
    </w:p>
    <w:p w:rsidR="004E53B1" w:rsidRPr="00FD4CE8" w:rsidRDefault="004E53B1" w:rsidP="00F4300A">
      <w:pPr>
        <w:autoSpaceDE w:val="0"/>
        <w:autoSpaceDN w:val="0"/>
        <w:adjustRightInd w:val="0"/>
        <w:spacing w:after="0" w:line="240" w:lineRule="auto"/>
        <w:rPr>
          <w:rFonts w:cstheme="minorHAnsi"/>
          <w:sz w:val="20"/>
          <w:szCs w:val="20"/>
          <w:lang w:val="en-US"/>
        </w:rPr>
      </w:pPr>
    </w:p>
    <w:p w:rsidR="004E53B1" w:rsidRPr="004E53B1" w:rsidRDefault="004E53B1" w:rsidP="004E53B1">
      <w:pPr>
        <w:widowControl w:val="0"/>
        <w:numPr>
          <w:ilvl w:val="0"/>
          <w:numId w:val="14"/>
        </w:numPr>
        <w:suppressAutoHyphens/>
        <w:autoSpaceDN w:val="0"/>
        <w:spacing w:after="0" w:line="240" w:lineRule="auto"/>
        <w:textAlignment w:val="baseline"/>
        <w:rPr>
          <w:rFonts w:ascii="Calibri" w:eastAsia="Arial Unicode MS" w:hAnsi="Calibri" w:cs="Calibri"/>
          <w:lang w:val="en-US" w:eastAsia="pl-PL"/>
        </w:rPr>
      </w:pPr>
      <w:r w:rsidRPr="004E53B1">
        <w:rPr>
          <w:rFonts w:ascii="Calibri" w:eastAsia="Arial Unicode MS" w:hAnsi="Calibri" w:cs="Calibri"/>
          <w:lang w:val="en-US" w:eastAsia="pl-PL"/>
        </w:rPr>
        <w:t xml:space="preserve">Felasa Quarterly Profile </w:t>
      </w:r>
      <w:r w:rsidRPr="00FD4CE8">
        <w:rPr>
          <w:rFonts w:ascii="Calibri" w:eastAsia="Arial Unicode MS" w:hAnsi="Calibri" w:cs="Times New Roman"/>
          <w:lang w:val="en-US" w:eastAsia="pl-PL"/>
        </w:rPr>
        <w:t>(</w:t>
      </w:r>
      <w:r w:rsidRPr="00FD4CE8">
        <w:rPr>
          <w:rFonts w:ascii="Calibri" w:eastAsia="Arial Unicode MS" w:hAnsi="Calibri" w:cs="Times New Roman"/>
          <w:b/>
          <w:lang w:val="en-US" w:eastAsia="pl-PL"/>
        </w:rPr>
        <w:t xml:space="preserve">serology: </w:t>
      </w:r>
      <w:r w:rsidRPr="00FD4CE8">
        <w:rPr>
          <w:rFonts w:ascii="Calibri" w:eastAsia="Arial Unicode MS" w:hAnsi="Calibri" w:cs="Times New Roman"/>
          <w:lang w:val="en-US" w:eastAsia="pl-PL"/>
        </w:rPr>
        <w:t xml:space="preserve">EDIM, MHV, MNV, MPV, MVM, TMEV + </w:t>
      </w:r>
      <w:r w:rsidRPr="00FD4CE8">
        <w:rPr>
          <w:rFonts w:ascii="Calibri" w:eastAsia="Arial Unicode MS" w:hAnsi="Calibri" w:cs="Times New Roman"/>
          <w:b/>
          <w:lang w:val="en-US" w:eastAsia="pl-PL"/>
        </w:rPr>
        <w:t xml:space="preserve">PCR: </w:t>
      </w:r>
      <w:r w:rsidRPr="00FD4CE8">
        <w:rPr>
          <w:rFonts w:ascii="Calibri" w:eastAsia="Arial Unicode MS" w:hAnsi="Calibri" w:cs="Times New Roman"/>
          <w:lang w:val="en-US" w:eastAsia="pl-PL"/>
        </w:rPr>
        <w:t>Aspiculuris tetraptera, Cryptosporidium spp., Giardia muris, Helicobacter bilis, Helicobacter ganmani, Helicobacter hepaticus, Helicobacter mastomyrinus, Helicobacter rodentium, Helicobacter spp., Helicobacter typhlonius, Mycoptes, Pasteurella pneumotropica biotype Heyl, Pasteurella pneumotropica biotype Jawetz, Radfordia/Myobia, Spironucleus muris, Streptococcus pneumoniae, -Streptococcus sp.beta hemolytic Group A, Streptococcus sp. beta hemolytic Group B, Streptococcus sp. beta hemolytic Group C, Streptococcus sp.beta hemolytic Group G, Syphacia muris, Syphacia obvelata)</w:t>
      </w:r>
      <w:r w:rsidRPr="004E53B1">
        <w:rPr>
          <w:rFonts w:ascii="Calibri" w:eastAsia="Arial Unicode MS" w:hAnsi="Calibri" w:cs="Calibri"/>
          <w:lang w:val="en-US" w:eastAsia="pl-PL"/>
        </w:rPr>
        <w:t xml:space="preserve"> - Mice – 51</w:t>
      </w:r>
    </w:p>
    <w:p w:rsidR="004E53B1" w:rsidRPr="004E53B1" w:rsidRDefault="004E53B1" w:rsidP="004E53B1">
      <w:pPr>
        <w:widowControl w:val="0"/>
        <w:suppressAutoHyphens/>
        <w:autoSpaceDN w:val="0"/>
        <w:spacing w:after="0" w:line="240" w:lineRule="auto"/>
        <w:textAlignment w:val="baseline"/>
        <w:rPr>
          <w:rFonts w:ascii="Calibri" w:eastAsia="Arial Unicode MS" w:hAnsi="Calibri" w:cs="Calibri"/>
          <w:lang w:val="en-US" w:eastAsia="pl-PL"/>
        </w:rPr>
      </w:pPr>
    </w:p>
    <w:p w:rsidR="004E53B1" w:rsidRPr="004E53B1" w:rsidRDefault="004E53B1" w:rsidP="004E53B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textAlignment w:val="baseline"/>
        <w:rPr>
          <w:rFonts w:ascii="Calibri" w:eastAsia="Times New Roman" w:hAnsi="Calibri" w:cs="Calibri"/>
          <w:lang w:val="en-US" w:eastAsia="pl-PL"/>
        </w:rPr>
      </w:pPr>
      <w:r w:rsidRPr="004E53B1">
        <w:rPr>
          <w:rFonts w:ascii="Calibri" w:eastAsia="Times New Roman" w:hAnsi="Calibri" w:cs="Calibri"/>
          <w:lang w:val="en-US" w:eastAsia="pl-PL"/>
        </w:rPr>
        <w:t xml:space="preserve">Felasa Quarterly Profile </w:t>
      </w:r>
      <w:r w:rsidRPr="00FD4CE8">
        <w:rPr>
          <w:rFonts w:ascii="Calibri" w:eastAsia="Times New Roman" w:hAnsi="Calibri" w:cs="Courier New"/>
          <w:lang w:val="en-US" w:eastAsia="pl-PL"/>
        </w:rPr>
        <w:t>(</w:t>
      </w:r>
      <w:r w:rsidRPr="00FD4CE8">
        <w:rPr>
          <w:rFonts w:ascii="Calibri" w:eastAsia="Times New Roman" w:hAnsi="Calibri" w:cs="Courier New"/>
          <w:b/>
          <w:lang w:val="en-US" w:eastAsia="pl-PL"/>
        </w:rPr>
        <w:t xml:space="preserve">serology: </w:t>
      </w:r>
      <w:r w:rsidRPr="00FD4CE8">
        <w:rPr>
          <w:rFonts w:ascii="Calibri" w:eastAsia="Times New Roman" w:hAnsi="Calibri" w:cs="Courier New"/>
          <w:lang w:val="en-US" w:eastAsia="pl-PL"/>
        </w:rPr>
        <w:t xml:space="preserve">Clostridium piliforme, Mycoplasma pulmonis, H1, KRV, PVM, RCV/SDAV, RMV, RPV, RTV + </w:t>
      </w:r>
      <w:r w:rsidRPr="00FD4CE8">
        <w:rPr>
          <w:rFonts w:ascii="Calibri" w:eastAsia="Times New Roman" w:hAnsi="Calibri" w:cs="Courier New"/>
          <w:b/>
          <w:lang w:val="en-US" w:eastAsia="pl-PL"/>
        </w:rPr>
        <w:t xml:space="preserve">PCR: </w:t>
      </w:r>
      <w:r w:rsidRPr="00FD4CE8">
        <w:rPr>
          <w:rFonts w:ascii="Calibri" w:eastAsia="Times New Roman" w:hAnsi="Calibri" w:cs="Courier New"/>
          <w:lang w:val="en-US" w:eastAsia="pl-PL"/>
        </w:rPr>
        <w:t>Aspiculuris tetraptera, Cryptosporidium spp., Giardia muris, Helicobacter bilis, Helicobacter ganmani, Helicobacter hepaticus, Helicobacter mastomyrinus, Helicobacter rodentium, Helicobacter spp., Helicobacter typhlonius, Mycoptes, Pasteurella pneumotropica biotype Heyl, Pasteurella pneumotropica biotype Jawetz, Radfordia/Myobia, Spironucleus muris, Streptococcus pneumoniae, Streptococcus sp.beta hemolytic Group A, Streptococcus sp. beta hemolytic Group B, Streptococcus sp. beta hemolytic Group C, Streptococcus sp.beta hemolytic Group G, Syphacia muris, Syphacia obvelata)</w:t>
      </w:r>
      <w:r w:rsidRPr="004E53B1">
        <w:rPr>
          <w:rFonts w:ascii="Calibri" w:eastAsia="Times New Roman" w:hAnsi="Calibri" w:cs="Calibri"/>
          <w:lang w:val="en-US" w:eastAsia="pl-PL"/>
        </w:rPr>
        <w:t xml:space="preserve"> - Rats – 18</w:t>
      </w:r>
    </w:p>
    <w:p w:rsidR="004E53B1" w:rsidRPr="004E53B1" w:rsidRDefault="004E53B1" w:rsidP="004E53B1">
      <w:pPr>
        <w:spacing w:after="0" w:line="240" w:lineRule="auto"/>
        <w:ind w:left="720"/>
        <w:contextualSpacing/>
        <w:rPr>
          <w:rFonts w:ascii="Calibri" w:eastAsia="Times New Roman" w:hAnsi="Calibri" w:cs="Calibri"/>
          <w:lang w:val="en-US" w:eastAsia="pl-PL"/>
        </w:rPr>
      </w:pPr>
    </w:p>
    <w:p w:rsidR="004E53B1" w:rsidRPr="004E53B1" w:rsidRDefault="004E53B1" w:rsidP="004E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textAlignment w:val="baseline"/>
        <w:rPr>
          <w:rFonts w:ascii="Calibri" w:eastAsia="Times New Roman" w:hAnsi="Calibri" w:cs="Calibri"/>
          <w:lang w:val="en-US" w:eastAsia="pl-PL"/>
        </w:rPr>
      </w:pPr>
    </w:p>
    <w:p w:rsidR="004E53B1" w:rsidRPr="004E53B1" w:rsidRDefault="004E53B1" w:rsidP="004E53B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textAlignment w:val="baseline"/>
        <w:rPr>
          <w:rFonts w:ascii="Calibri" w:eastAsia="Times New Roman" w:hAnsi="Calibri" w:cs="Calibri"/>
          <w:lang w:val="en-US" w:eastAsia="pl-PL"/>
        </w:rPr>
      </w:pPr>
      <w:r w:rsidRPr="004E53B1">
        <w:rPr>
          <w:rFonts w:ascii="Calibri" w:eastAsia="Times New Roman" w:hAnsi="Calibri" w:cs="Calibri"/>
          <w:lang w:val="en-US" w:eastAsia="pl-PL"/>
        </w:rPr>
        <w:t xml:space="preserve">Felasa Annual Profile </w:t>
      </w:r>
      <w:r w:rsidRPr="00FD4CE8">
        <w:rPr>
          <w:rFonts w:ascii="Calibri" w:eastAsia="Times New Roman" w:hAnsi="Calibri" w:cs="Courier New"/>
          <w:lang w:val="en-US" w:eastAsia="pl-PL"/>
        </w:rPr>
        <w:t>(</w:t>
      </w:r>
      <w:r w:rsidRPr="00FD4CE8">
        <w:rPr>
          <w:rFonts w:ascii="Calibri" w:eastAsia="Times New Roman" w:hAnsi="Calibri" w:cs="Courier New"/>
          <w:b/>
          <w:lang w:val="en-US" w:eastAsia="pl-PL"/>
        </w:rPr>
        <w:t xml:space="preserve">serology: </w:t>
      </w:r>
      <w:r w:rsidRPr="00FD4CE8">
        <w:rPr>
          <w:rFonts w:ascii="Calibri" w:eastAsia="Times New Roman" w:hAnsi="Calibri" w:cs="Courier New"/>
          <w:lang w:val="en-US" w:eastAsia="pl-PL"/>
        </w:rPr>
        <w:t xml:space="preserve">clostridium piliforme, mycoplasma pulmonis, ectromelia, EDIM, LCMV, MAV1, MAV2, MHV, MNV, MPV, MVM, PVM, REO3, Sendai, TMEV + </w:t>
      </w:r>
      <w:r w:rsidRPr="00FD4CE8">
        <w:rPr>
          <w:rFonts w:ascii="Calibri" w:eastAsia="Times New Roman" w:hAnsi="Calibri" w:cs="Courier New"/>
          <w:b/>
          <w:lang w:val="en-US" w:eastAsia="pl-PL"/>
        </w:rPr>
        <w:t xml:space="preserve">PCR: </w:t>
      </w:r>
      <w:r w:rsidRPr="00FD4CE8">
        <w:rPr>
          <w:rFonts w:ascii="Calibri" w:eastAsia="Times New Roman" w:hAnsi="Calibri" w:cs="Courier New"/>
          <w:lang w:val="en-US" w:eastAsia="pl-PL"/>
        </w:rPr>
        <w:t xml:space="preserve">Aspiculuris tetraptera, Citrobacter rodentium, Corynebacterium kutscheri, Cryptosporidium spp., Entamoeba muris, Giardia muris, Helicobacter bilis, Helicobacter ganmani, Helicobacter hepaticus, Helicobacter mastomyrinus, Helicobacter rodentium, Helicobacter spp., Helicobacter typhlonius, Mycoptes, Pasteurella pneumotropica biotype Heyl, Pasteurella pneumotropica biotype Jawetz, Radfordia/Myobia, Salmonella spp., Spironucleus muris, Streptobacillus moniliformis, Streptococcus pneumoniae, Streptococcus sp.beta hemolytic </w:t>
      </w:r>
      <w:r w:rsidRPr="00FD4CE8">
        <w:rPr>
          <w:rFonts w:ascii="Calibri" w:eastAsia="Times New Roman" w:hAnsi="Calibri" w:cs="Courier New"/>
          <w:lang w:val="en-US" w:eastAsia="pl-PL"/>
        </w:rPr>
        <w:lastRenderedPageBreak/>
        <w:t xml:space="preserve">Group A, Streptococcus sp. beta hemolytic Group B, Streptococcus sp. beta hemolytic Group C, Streptococcus sp.beta hemolytic Group G, Syphacia muris, Syphacia obvelata, Tritrichomonas muris) - </w:t>
      </w:r>
      <w:r w:rsidRPr="004E53B1">
        <w:rPr>
          <w:rFonts w:ascii="Calibri" w:eastAsia="Times New Roman" w:hAnsi="Calibri" w:cs="Calibri"/>
          <w:lang w:val="en-US" w:eastAsia="pl-PL"/>
        </w:rPr>
        <w:t xml:space="preserve"> Mice – 17</w:t>
      </w:r>
    </w:p>
    <w:p w:rsidR="004E53B1" w:rsidRPr="004E53B1" w:rsidRDefault="004E53B1" w:rsidP="004E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textAlignment w:val="baseline"/>
        <w:rPr>
          <w:rFonts w:ascii="Calibri" w:eastAsia="Times New Roman" w:hAnsi="Calibri" w:cs="Calibri"/>
          <w:lang w:val="en-US" w:eastAsia="pl-PL"/>
        </w:rPr>
      </w:pPr>
    </w:p>
    <w:p w:rsidR="004E53B1" w:rsidRPr="004E53B1" w:rsidRDefault="004E53B1" w:rsidP="004E53B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textAlignment w:val="baseline"/>
        <w:rPr>
          <w:rFonts w:ascii="Calibri" w:eastAsia="Times New Roman" w:hAnsi="Calibri" w:cs="Calibri"/>
          <w:lang w:val="en-US" w:eastAsia="pl-PL"/>
        </w:rPr>
      </w:pPr>
      <w:r w:rsidRPr="004E53B1">
        <w:rPr>
          <w:rFonts w:ascii="Calibri" w:eastAsia="Times New Roman" w:hAnsi="Calibri" w:cs="Calibri"/>
          <w:lang w:val="en-US" w:eastAsia="pl-PL"/>
        </w:rPr>
        <w:t>Felasa Annual Profile</w:t>
      </w:r>
      <w:r w:rsidRPr="00FD4CE8">
        <w:rPr>
          <w:rFonts w:ascii="Calibri" w:eastAsia="Times New Roman" w:hAnsi="Calibri" w:cs="Courier New"/>
          <w:lang w:val="en-US" w:eastAsia="pl-PL"/>
        </w:rPr>
        <w:t xml:space="preserve"> (</w:t>
      </w:r>
      <w:r w:rsidRPr="00FD4CE8">
        <w:rPr>
          <w:rFonts w:ascii="Calibri" w:eastAsia="Times New Roman" w:hAnsi="Calibri" w:cs="Courier New"/>
          <w:b/>
          <w:lang w:val="en-US" w:eastAsia="pl-PL"/>
        </w:rPr>
        <w:t xml:space="preserve">serology: </w:t>
      </w:r>
      <w:r w:rsidRPr="00FD4CE8">
        <w:rPr>
          <w:rFonts w:ascii="Calibri" w:eastAsia="Times New Roman" w:hAnsi="Calibri" w:cs="Courier New"/>
          <w:lang w:val="en-US" w:eastAsia="pl-PL"/>
        </w:rPr>
        <w:t xml:space="preserve">Clostridium piliforme, Mycoplasma pulmonis, Pneumocystis carinii, CAR bacillus, H1, Hantaan, KRV, MAV1, MAV2, PVM, RCV/SDAV, REO3, RMV, RPV, RTV, Sendai + </w:t>
      </w:r>
      <w:r w:rsidRPr="00FD4CE8">
        <w:rPr>
          <w:rFonts w:ascii="Calibri" w:eastAsia="Times New Roman" w:hAnsi="Calibri" w:cs="Courier New"/>
          <w:b/>
          <w:lang w:val="en-US" w:eastAsia="pl-PL"/>
        </w:rPr>
        <w:t xml:space="preserve">PCR: </w:t>
      </w:r>
      <w:r w:rsidRPr="00FD4CE8">
        <w:rPr>
          <w:rFonts w:ascii="Calibri" w:eastAsia="Times New Roman" w:hAnsi="Calibri" w:cs="Courier New"/>
          <w:lang w:val="en-US" w:eastAsia="pl-PL"/>
        </w:rPr>
        <w:t xml:space="preserve">Aspiculuris tetraptera, Cryptosporidium spp., Entamoeba muris, Giardia muris, Helicobacter bilis, Helicobacter ganmani, Helicobacter hepaticus, Helicobacter mastomyrinus, Helicobacter rodentium, Helicobacter spp., Helicobacter typhlonius, Mycoptes, Pasteurella pneumotropica biotype Heyl, Pasteurella pneumotropica biotype Jawetz, Radfordia/Myobia, Salmonella spp., Spironucleus muris, Streptobacillus moniliformis, Streptococcus pneumoniae, Streptococcus sp.beta hemolytic Group A, Streptococcus sp. beta hemolytic Group B, Streptococcus sp. beta hemolytic Group C, Streptococcus sp.beta hemolytic Group G, Syphacia muris, Syphacia obvelata, Tritrichomonas muris) </w:t>
      </w:r>
      <w:r w:rsidRPr="004E53B1">
        <w:rPr>
          <w:rFonts w:ascii="Calibri" w:eastAsia="Times New Roman" w:hAnsi="Calibri" w:cs="Calibri"/>
          <w:lang w:val="en-US" w:eastAsia="pl-PL"/>
        </w:rPr>
        <w:t xml:space="preserve"> - Rats – 6</w:t>
      </w:r>
    </w:p>
    <w:p w:rsidR="004E53B1" w:rsidRPr="004E53B1" w:rsidRDefault="004E53B1" w:rsidP="004E53B1">
      <w:pPr>
        <w:spacing w:after="0" w:line="240" w:lineRule="auto"/>
        <w:ind w:left="720"/>
        <w:contextualSpacing/>
        <w:rPr>
          <w:rFonts w:ascii="Calibri" w:eastAsia="Times New Roman" w:hAnsi="Calibri" w:cs="Calibri"/>
          <w:lang w:val="en-US" w:eastAsia="pl-PL"/>
        </w:rPr>
      </w:pPr>
    </w:p>
    <w:p w:rsidR="004E53B1" w:rsidRPr="004E53B1" w:rsidRDefault="004E53B1" w:rsidP="004E53B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textAlignment w:val="baseline"/>
        <w:rPr>
          <w:rFonts w:ascii="Calibri" w:eastAsia="Times New Roman" w:hAnsi="Calibri" w:cs="Calibri"/>
          <w:lang w:val="en-US" w:eastAsia="pl-PL"/>
        </w:rPr>
      </w:pPr>
      <w:r w:rsidRPr="004E53B1">
        <w:rPr>
          <w:rFonts w:ascii="Calibri" w:eastAsia="Times New Roman" w:hAnsi="Calibri" w:cs="Calibri"/>
          <w:lang w:val="en-US" w:eastAsia="pl-PL"/>
        </w:rPr>
        <w:t>Transport of samples – 8x</w:t>
      </w:r>
      <w:r w:rsidR="001A3289">
        <w:rPr>
          <w:rFonts w:ascii="Calibri" w:eastAsia="Times New Roman" w:hAnsi="Calibri" w:cs="Calibri"/>
          <w:lang w:val="en-US" w:eastAsia="pl-PL"/>
        </w:rPr>
        <w:t xml:space="preserve"> (carriage)</w:t>
      </w:r>
      <w:r w:rsidRPr="004E53B1">
        <w:rPr>
          <w:rFonts w:ascii="Calibri" w:eastAsia="Times New Roman" w:hAnsi="Calibri" w:cs="Calibri"/>
          <w:lang w:val="en-US" w:eastAsia="pl-PL"/>
        </w:rPr>
        <w:t>.</w:t>
      </w:r>
    </w:p>
    <w:p w:rsidR="004E53B1" w:rsidRPr="004E53B1" w:rsidRDefault="004E53B1" w:rsidP="004E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720"/>
        <w:textAlignment w:val="baseline"/>
        <w:rPr>
          <w:rFonts w:ascii="Calibri" w:eastAsia="Times New Roman" w:hAnsi="Calibri" w:cs="Calibri"/>
          <w:lang w:val="en-US" w:eastAsia="pl-PL"/>
        </w:rPr>
      </w:pPr>
    </w:p>
    <w:p w:rsidR="004E53B1" w:rsidRPr="004E53B1" w:rsidRDefault="004E53B1" w:rsidP="004E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Calibri" w:eastAsia="Times New Roman" w:hAnsi="Calibri" w:cs="Courier New"/>
          <w:b/>
          <w:lang w:val="en" w:eastAsia="pl-PL"/>
        </w:rPr>
      </w:pPr>
      <w:r w:rsidRPr="004E53B1">
        <w:rPr>
          <w:rFonts w:ascii="Calibri" w:eastAsia="Times New Roman" w:hAnsi="Calibri" w:cs="Courier New"/>
          <w:b/>
          <w:lang w:val="en" w:eastAsia="pl-PL"/>
        </w:rPr>
        <w:t>The testing entity must have appropriate equipment, personnel and experience in performing such tests. For testing, the unit should use the following samples provided by the Ordering Party: faeces, dry oral swab, fur swab, a droplet strip (Opti-Spot, etc.).</w:t>
      </w:r>
    </w:p>
    <w:p w:rsidR="004E53B1" w:rsidRPr="00FD4CE8" w:rsidRDefault="004E53B1" w:rsidP="004E53B1">
      <w:pPr>
        <w:autoSpaceDE w:val="0"/>
        <w:autoSpaceDN w:val="0"/>
        <w:adjustRightInd w:val="0"/>
        <w:spacing w:after="0" w:line="240" w:lineRule="auto"/>
        <w:rPr>
          <w:rFonts w:eastAsia="Times New Roman" w:cstheme="minorHAnsi"/>
          <w:sz w:val="24"/>
          <w:szCs w:val="24"/>
          <w:lang w:val="en-US" w:eastAsia="pl-PL"/>
        </w:rPr>
      </w:pPr>
    </w:p>
    <w:p w:rsidR="00F4300A" w:rsidRPr="00FD4CE8" w:rsidRDefault="00F4300A" w:rsidP="00F4300A">
      <w:pPr>
        <w:tabs>
          <w:tab w:val="left" w:pos="709"/>
        </w:tabs>
        <w:autoSpaceDE w:val="0"/>
        <w:autoSpaceDN w:val="0"/>
        <w:adjustRightInd w:val="0"/>
        <w:spacing w:after="0" w:line="240" w:lineRule="auto"/>
        <w:rPr>
          <w:rFonts w:cstheme="minorHAnsi"/>
          <w:b/>
          <w:sz w:val="20"/>
          <w:szCs w:val="20"/>
          <w:lang w:val="en-US"/>
        </w:rPr>
      </w:pPr>
      <w:r w:rsidRPr="00FD4CE8">
        <w:rPr>
          <w:rFonts w:cstheme="minorHAnsi"/>
          <w:b/>
          <w:sz w:val="20"/>
          <w:szCs w:val="20"/>
          <w:lang w:val="en-US"/>
        </w:rPr>
        <w:t xml:space="preserve">Warranty: </w:t>
      </w:r>
      <w:r w:rsidR="004E53B1" w:rsidRPr="00FD4CE8">
        <w:rPr>
          <w:rFonts w:cstheme="minorHAnsi"/>
          <w:sz w:val="20"/>
          <w:szCs w:val="20"/>
          <w:lang w:val="en-US"/>
        </w:rPr>
        <w:t>min. 1 year.</w:t>
      </w:r>
    </w:p>
    <w:p w:rsidR="00F4300A" w:rsidRPr="00FD4CE8" w:rsidRDefault="00F4300A" w:rsidP="00F4300A">
      <w:pPr>
        <w:tabs>
          <w:tab w:val="left" w:pos="709"/>
        </w:tabs>
        <w:autoSpaceDE w:val="0"/>
        <w:autoSpaceDN w:val="0"/>
        <w:adjustRightInd w:val="0"/>
        <w:spacing w:after="0" w:line="240" w:lineRule="auto"/>
        <w:rPr>
          <w:rFonts w:cstheme="minorHAnsi"/>
          <w:sz w:val="20"/>
          <w:szCs w:val="20"/>
          <w:lang w:val="en-US"/>
        </w:rPr>
      </w:pPr>
      <w:r w:rsidRPr="00FD4CE8">
        <w:rPr>
          <w:rFonts w:cstheme="minorHAnsi"/>
          <w:b/>
          <w:sz w:val="20"/>
          <w:szCs w:val="20"/>
          <w:lang w:val="en-US"/>
        </w:rPr>
        <w:t xml:space="preserve">Order completion date: </w:t>
      </w:r>
      <w:r w:rsidR="00BA574B" w:rsidRPr="00FD4CE8">
        <w:rPr>
          <w:rFonts w:cstheme="minorHAnsi"/>
          <w:sz w:val="20"/>
          <w:szCs w:val="20"/>
          <w:lang w:val="en-US"/>
        </w:rPr>
        <w:t xml:space="preserve">max. </w:t>
      </w:r>
      <w:r w:rsidR="001A3289">
        <w:rPr>
          <w:rFonts w:cstheme="minorHAnsi"/>
          <w:sz w:val="20"/>
          <w:szCs w:val="20"/>
          <w:lang w:val="en-US"/>
        </w:rPr>
        <w:t>10</w:t>
      </w:r>
      <w:r w:rsidRPr="00FD4CE8">
        <w:rPr>
          <w:rFonts w:cstheme="minorHAnsi"/>
          <w:sz w:val="20"/>
          <w:szCs w:val="20"/>
          <w:lang w:val="en-US"/>
        </w:rPr>
        <w:t xml:space="preserve"> days from the date of </w:t>
      </w:r>
      <w:r w:rsidR="00FD4CE8">
        <w:rPr>
          <w:rFonts w:cstheme="minorHAnsi"/>
          <w:sz w:val="20"/>
          <w:szCs w:val="20"/>
          <w:lang w:val="en-US"/>
        </w:rPr>
        <w:t>place part of the order</w:t>
      </w:r>
      <w:r w:rsidR="004E53B1" w:rsidRPr="00FD4CE8">
        <w:rPr>
          <w:rFonts w:cstheme="minorHAnsi"/>
          <w:sz w:val="20"/>
          <w:szCs w:val="20"/>
          <w:lang w:val="en-US"/>
        </w:rPr>
        <w:t>.</w:t>
      </w:r>
    </w:p>
    <w:p w:rsidR="00F4300A" w:rsidRPr="00FD4CE8" w:rsidRDefault="00F4300A" w:rsidP="00F4300A">
      <w:pPr>
        <w:autoSpaceDE w:val="0"/>
        <w:autoSpaceDN w:val="0"/>
        <w:adjustRightInd w:val="0"/>
        <w:spacing w:after="0" w:line="240" w:lineRule="auto"/>
        <w:rPr>
          <w:rFonts w:cstheme="minorHAnsi"/>
          <w:b/>
          <w:sz w:val="20"/>
          <w:szCs w:val="20"/>
          <w:lang w:val="en-US"/>
        </w:rPr>
      </w:pPr>
    </w:p>
    <w:p w:rsidR="004E53B1" w:rsidRPr="00FD4CE8" w:rsidRDefault="004E53B1" w:rsidP="00F4300A">
      <w:pPr>
        <w:autoSpaceDE w:val="0"/>
        <w:autoSpaceDN w:val="0"/>
        <w:adjustRightInd w:val="0"/>
        <w:spacing w:after="0" w:line="240" w:lineRule="auto"/>
        <w:rPr>
          <w:rFonts w:cstheme="minorHAnsi"/>
          <w:b/>
          <w:sz w:val="20"/>
          <w:szCs w:val="20"/>
          <w:lang w:val="en-US"/>
        </w:rPr>
      </w:pPr>
    </w:p>
    <w:p w:rsidR="00F4300A" w:rsidRPr="00FD4CE8" w:rsidRDefault="00F4300A" w:rsidP="00F4300A">
      <w:pPr>
        <w:autoSpaceDE w:val="0"/>
        <w:autoSpaceDN w:val="0"/>
        <w:adjustRightInd w:val="0"/>
        <w:spacing w:after="0" w:line="240" w:lineRule="auto"/>
        <w:jc w:val="both"/>
        <w:rPr>
          <w:rFonts w:cstheme="minorHAnsi"/>
          <w:b/>
          <w:bCs/>
          <w:sz w:val="20"/>
          <w:szCs w:val="20"/>
          <w:lang w:val="en-US"/>
        </w:rPr>
      </w:pPr>
      <w:r w:rsidRPr="00FD4CE8">
        <w:rPr>
          <w:rFonts w:cstheme="minorHAnsi"/>
          <w:b/>
          <w:bCs/>
          <w:sz w:val="20"/>
          <w:szCs w:val="20"/>
          <w:lang w:val="en-US"/>
        </w:rPr>
        <w:t>II Tender evaluation criteria</w:t>
      </w:r>
    </w:p>
    <w:p w:rsidR="00F4300A" w:rsidRPr="00FD4CE8" w:rsidRDefault="00F4300A" w:rsidP="00F4300A">
      <w:pPr>
        <w:autoSpaceDE w:val="0"/>
        <w:autoSpaceDN w:val="0"/>
        <w:adjustRightInd w:val="0"/>
        <w:jc w:val="both"/>
        <w:rPr>
          <w:rFonts w:ascii="Calibri" w:hAnsi="Calibri" w:cstheme="minorHAnsi"/>
          <w:sz w:val="20"/>
          <w:szCs w:val="20"/>
          <w:lang w:val="en-US"/>
        </w:rPr>
      </w:pPr>
      <w:r w:rsidRPr="00FD4CE8">
        <w:rPr>
          <w:rFonts w:ascii="Calibri" w:hAnsi="Calibri" w:cstheme="minorHAnsi"/>
          <w:sz w:val="20"/>
          <w:szCs w:val="20"/>
          <w:lang w:val="en-US"/>
        </w:rPr>
        <w:t>In the selection process the Contracting Authority wil</w:t>
      </w:r>
      <w:r w:rsidR="002F09DC" w:rsidRPr="00FD4CE8">
        <w:rPr>
          <w:rFonts w:ascii="Calibri" w:hAnsi="Calibri" w:cstheme="minorHAnsi"/>
          <w:sz w:val="20"/>
          <w:szCs w:val="20"/>
          <w:lang w:val="en-US"/>
        </w:rPr>
        <w:t>l be guided by the criterion of:</w:t>
      </w:r>
    </w:p>
    <w:tbl>
      <w:tblPr>
        <w:tblW w:w="9307" w:type="dxa"/>
        <w:tblInd w:w="110" w:type="dxa"/>
        <w:tblLayout w:type="fixed"/>
        <w:tblLook w:val="0000" w:firstRow="0" w:lastRow="0" w:firstColumn="0" w:lastColumn="0" w:noHBand="0" w:noVBand="0"/>
      </w:tblPr>
      <w:tblGrid>
        <w:gridCol w:w="565"/>
        <w:gridCol w:w="7560"/>
        <w:gridCol w:w="1182"/>
      </w:tblGrid>
      <w:tr w:rsidR="002F09DC" w:rsidRPr="00F85CC0" w:rsidTr="00397D40">
        <w:trPr>
          <w:trHeight w:val="1"/>
        </w:trPr>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09DC" w:rsidRPr="00F85CC0" w:rsidRDefault="002F09DC" w:rsidP="00397D40">
            <w:pPr>
              <w:ind w:hanging="2"/>
              <w:jc w:val="center"/>
              <w:rPr>
                <w:rFonts w:ascii="Calibri" w:hAnsi="Calibri"/>
                <w:b/>
                <w:sz w:val="20"/>
                <w:szCs w:val="20"/>
              </w:rPr>
            </w:pPr>
            <w:r w:rsidRPr="00F85CC0">
              <w:rPr>
                <w:rFonts w:ascii="Calibri" w:hAnsi="Calibri"/>
                <w:b/>
                <w:sz w:val="20"/>
                <w:szCs w:val="20"/>
              </w:rPr>
              <w:t>Lp.</w:t>
            </w:r>
          </w:p>
        </w:tc>
        <w:tc>
          <w:tcPr>
            <w:tcW w:w="7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09DC" w:rsidRPr="00F85CC0" w:rsidRDefault="002F09DC" w:rsidP="00397D40">
            <w:pPr>
              <w:ind w:hanging="2"/>
              <w:jc w:val="center"/>
              <w:rPr>
                <w:rFonts w:ascii="Calibri" w:hAnsi="Calibri"/>
                <w:b/>
                <w:sz w:val="20"/>
                <w:szCs w:val="20"/>
              </w:rPr>
            </w:pPr>
            <w:r w:rsidRPr="00F85CC0">
              <w:rPr>
                <w:rFonts w:ascii="Calibri" w:hAnsi="Calibri"/>
                <w:b/>
                <w:sz w:val="20"/>
                <w:szCs w:val="20"/>
              </w:rPr>
              <w:t>Kryterium oceny</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09DC" w:rsidRPr="00F85CC0" w:rsidRDefault="002F09DC" w:rsidP="00397D40">
            <w:pPr>
              <w:ind w:hanging="2"/>
              <w:jc w:val="center"/>
              <w:rPr>
                <w:rFonts w:ascii="Calibri" w:hAnsi="Calibri"/>
                <w:b/>
                <w:sz w:val="20"/>
                <w:szCs w:val="20"/>
              </w:rPr>
            </w:pPr>
            <w:r w:rsidRPr="00F85CC0">
              <w:rPr>
                <w:rFonts w:ascii="Calibri" w:hAnsi="Calibri"/>
                <w:b/>
                <w:sz w:val="20"/>
                <w:szCs w:val="20"/>
              </w:rPr>
              <w:t xml:space="preserve">Waga </w:t>
            </w:r>
          </w:p>
        </w:tc>
      </w:tr>
      <w:tr w:rsidR="002F09DC" w:rsidRPr="00F85CC0" w:rsidTr="00397D40">
        <w:trPr>
          <w:trHeight w:val="1"/>
        </w:trPr>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09DC" w:rsidRPr="00F85CC0" w:rsidRDefault="002F09DC" w:rsidP="00397D40">
            <w:pPr>
              <w:ind w:hanging="2"/>
              <w:rPr>
                <w:rFonts w:ascii="Calibri" w:hAnsi="Calibri"/>
                <w:sz w:val="20"/>
                <w:szCs w:val="20"/>
              </w:rPr>
            </w:pPr>
            <w:r w:rsidRPr="00F85CC0">
              <w:rPr>
                <w:rFonts w:ascii="Calibri" w:hAnsi="Calibri"/>
                <w:sz w:val="20"/>
                <w:szCs w:val="20"/>
              </w:rPr>
              <w:t>1.</w:t>
            </w:r>
          </w:p>
        </w:tc>
        <w:tc>
          <w:tcPr>
            <w:tcW w:w="7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09DC" w:rsidRPr="002F09DC" w:rsidRDefault="002F09DC" w:rsidP="002F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Calibri" w:eastAsia="Times New Roman" w:hAnsi="Calibri" w:cs="Calibri"/>
                <w:sz w:val="20"/>
                <w:szCs w:val="20"/>
                <w:lang w:val="en-US" w:eastAsia="pl-PL"/>
              </w:rPr>
            </w:pPr>
            <w:r>
              <w:rPr>
                <w:rFonts w:ascii="Calibri" w:eastAsia="Times New Roman" w:hAnsi="Calibri" w:cs="Calibri"/>
                <w:sz w:val="20"/>
                <w:szCs w:val="20"/>
                <w:lang w:val="en-US" w:eastAsia="pl-PL"/>
              </w:rPr>
              <w:t>price – 60%, max. pts 60 (the lowest price – 6</w:t>
            </w:r>
            <w:r w:rsidRPr="002F09DC">
              <w:rPr>
                <w:rFonts w:ascii="Calibri" w:eastAsia="Times New Roman" w:hAnsi="Calibri" w:cs="Calibri"/>
                <w:sz w:val="20"/>
                <w:szCs w:val="20"/>
                <w:lang w:val="en-US" w:eastAsia="pl-PL"/>
              </w:rPr>
              <w:t xml:space="preserve">0 pts, </w:t>
            </w:r>
            <w:r w:rsidRPr="002F09DC">
              <w:rPr>
                <w:rFonts w:ascii="Calibri" w:eastAsia="Times New Roman" w:hAnsi="Calibri" w:cs="Courier New"/>
                <w:sz w:val="20"/>
                <w:szCs w:val="20"/>
                <w:lang w:val="en" w:eastAsia="pl-PL"/>
              </w:rPr>
              <w:t>each higher price will receive 1 point less for every 1% of the higher price compared to 100% of the minimum price)</w:t>
            </w:r>
          </w:p>
          <w:p w:rsidR="002F09DC" w:rsidRPr="00FD4CE8" w:rsidRDefault="002F09DC" w:rsidP="00397D40">
            <w:pPr>
              <w:ind w:hanging="2"/>
              <w:rPr>
                <w:rFonts w:ascii="Calibri" w:hAnsi="Calibri"/>
                <w:sz w:val="20"/>
                <w:szCs w:val="20"/>
                <w:lang w:val="en-US"/>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09DC" w:rsidRPr="00F85CC0" w:rsidRDefault="002F09DC" w:rsidP="00397D40">
            <w:pPr>
              <w:ind w:hanging="2"/>
              <w:rPr>
                <w:rFonts w:ascii="Calibri" w:hAnsi="Calibri"/>
                <w:sz w:val="20"/>
                <w:szCs w:val="20"/>
              </w:rPr>
            </w:pPr>
            <w:r>
              <w:rPr>
                <w:rFonts w:ascii="Calibri" w:hAnsi="Calibri"/>
                <w:sz w:val="20"/>
                <w:szCs w:val="20"/>
              </w:rPr>
              <w:t>6</w:t>
            </w:r>
            <w:r w:rsidRPr="00F85CC0">
              <w:rPr>
                <w:rFonts w:ascii="Calibri" w:hAnsi="Calibri"/>
                <w:sz w:val="20"/>
                <w:szCs w:val="20"/>
              </w:rPr>
              <w:t>0%</w:t>
            </w:r>
          </w:p>
        </w:tc>
      </w:tr>
      <w:tr w:rsidR="002F09DC" w:rsidRPr="00F85CC0" w:rsidTr="00397D40">
        <w:trPr>
          <w:trHeight w:val="1"/>
        </w:trPr>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09DC" w:rsidRPr="00F85CC0" w:rsidRDefault="002F09DC" w:rsidP="00397D40">
            <w:pPr>
              <w:ind w:hanging="2"/>
              <w:rPr>
                <w:rFonts w:ascii="Calibri" w:hAnsi="Calibri"/>
                <w:sz w:val="20"/>
                <w:szCs w:val="20"/>
              </w:rPr>
            </w:pPr>
            <w:r w:rsidRPr="00F85CC0">
              <w:rPr>
                <w:rFonts w:ascii="Calibri" w:hAnsi="Calibri"/>
                <w:sz w:val="20"/>
                <w:szCs w:val="20"/>
              </w:rPr>
              <w:t>2.</w:t>
            </w:r>
          </w:p>
        </w:tc>
        <w:tc>
          <w:tcPr>
            <w:tcW w:w="7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09DC" w:rsidRPr="00FD4CE8" w:rsidRDefault="00E57603" w:rsidP="00397D40">
            <w:pPr>
              <w:ind w:hanging="2"/>
              <w:rPr>
                <w:rFonts w:ascii="Calibri" w:hAnsi="Calibri"/>
                <w:sz w:val="20"/>
                <w:szCs w:val="20"/>
                <w:lang w:val="en-US"/>
              </w:rPr>
            </w:pPr>
            <w:r w:rsidRPr="00E57603">
              <w:rPr>
                <w:rFonts w:ascii="Calibri" w:hAnsi="Calibri" w:cs="Calibri"/>
                <w:sz w:val="20"/>
                <w:szCs w:val="20"/>
                <w:lang w:val="en-US"/>
              </w:rPr>
              <w:t>only 1 producer – 30%</w:t>
            </w:r>
            <w:r w:rsidRPr="00FD4CE8">
              <w:rPr>
                <w:rFonts w:ascii="Calibri" w:hAnsi="Calibri" w:cs="Calibri"/>
                <w:sz w:val="20"/>
                <w:szCs w:val="20"/>
                <w:lang w:val="en-US"/>
              </w:rPr>
              <w:t>, max pts 30 (only one producer -</w:t>
            </w:r>
            <w:r w:rsidR="00356750" w:rsidRPr="00FD4CE8">
              <w:rPr>
                <w:rFonts w:ascii="Calibri" w:hAnsi="Calibri" w:cs="Calibri"/>
                <w:sz w:val="20"/>
                <w:szCs w:val="20"/>
                <w:lang w:val="en-US"/>
              </w:rPr>
              <w:t xml:space="preserve"> </w:t>
            </w:r>
            <w:r w:rsidRPr="00FD4CE8">
              <w:rPr>
                <w:rFonts w:ascii="Calibri" w:hAnsi="Calibri" w:cs="Calibri"/>
                <w:sz w:val="20"/>
                <w:szCs w:val="20"/>
                <w:lang w:val="en-US"/>
              </w:rPr>
              <w:t>30 pts, more producers – 0 pts)</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09DC" w:rsidRPr="00F85CC0" w:rsidRDefault="002F09DC" w:rsidP="00397D40">
            <w:pPr>
              <w:ind w:hanging="2"/>
              <w:rPr>
                <w:rFonts w:ascii="Calibri" w:hAnsi="Calibri"/>
                <w:sz w:val="20"/>
                <w:szCs w:val="20"/>
              </w:rPr>
            </w:pPr>
            <w:r>
              <w:rPr>
                <w:rFonts w:ascii="Calibri" w:hAnsi="Calibri"/>
                <w:sz w:val="20"/>
                <w:szCs w:val="20"/>
              </w:rPr>
              <w:t>3</w:t>
            </w:r>
            <w:r w:rsidRPr="00F85CC0">
              <w:rPr>
                <w:rFonts w:ascii="Calibri" w:hAnsi="Calibri"/>
                <w:sz w:val="20"/>
                <w:szCs w:val="20"/>
              </w:rPr>
              <w:t>0%</w:t>
            </w:r>
          </w:p>
        </w:tc>
      </w:tr>
      <w:tr w:rsidR="00356750" w:rsidRPr="00F85CC0" w:rsidTr="00397D40">
        <w:trPr>
          <w:trHeight w:val="1"/>
        </w:trPr>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50" w:rsidRPr="00F85CC0" w:rsidRDefault="00356750" w:rsidP="00356750">
            <w:pPr>
              <w:ind w:hanging="2"/>
              <w:rPr>
                <w:rFonts w:ascii="Calibri" w:hAnsi="Calibri"/>
                <w:sz w:val="20"/>
                <w:szCs w:val="20"/>
              </w:rPr>
            </w:pPr>
            <w:r w:rsidRPr="00F85CC0">
              <w:rPr>
                <w:rFonts w:ascii="Calibri" w:hAnsi="Calibri"/>
                <w:sz w:val="20"/>
                <w:szCs w:val="20"/>
              </w:rPr>
              <w:t>3.</w:t>
            </w:r>
          </w:p>
        </w:tc>
        <w:tc>
          <w:tcPr>
            <w:tcW w:w="7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50" w:rsidRPr="00FD4CE8" w:rsidRDefault="00356750" w:rsidP="00356750">
            <w:pPr>
              <w:ind w:hanging="2"/>
              <w:rPr>
                <w:rFonts w:ascii="Calibri" w:hAnsi="Calibri"/>
                <w:sz w:val="20"/>
                <w:szCs w:val="20"/>
                <w:lang w:val="en-US"/>
              </w:rPr>
            </w:pPr>
            <w:r>
              <w:rPr>
                <w:rFonts w:ascii="Calibri" w:hAnsi="Calibri" w:cs="Calibri"/>
                <w:sz w:val="20"/>
                <w:szCs w:val="20"/>
                <w:lang w:val="en-US"/>
              </w:rPr>
              <w:t>transport – 5%, max. pts 5 (with transport – 5</w:t>
            </w:r>
            <w:r w:rsidRPr="00E57603">
              <w:rPr>
                <w:rFonts w:ascii="Calibri" w:hAnsi="Calibri" w:cs="Calibri"/>
                <w:sz w:val="20"/>
                <w:szCs w:val="20"/>
                <w:lang w:val="en-US"/>
              </w:rPr>
              <w:t xml:space="preserve"> pts, without transport – 0 pts)</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50" w:rsidRPr="00F85CC0" w:rsidRDefault="00356750" w:rsidP="00356750">
            <w:pPr>
              <w:ind w:hanging="2"/>
              <w:rPr>
                <w:rFonts w:ascii="Calibri" w:hAnsi="Calibri"/>
                <w:sz w:val="20"/>
                <w:szCs w:val="20"/>
              </w:rPr>
            </w:pPr>
            <w:r>
              <w:rPr>
                <w:rFonts w:ascii="Calibri" w:hAnsi="Calibri"/>
                <w:sz w:val="20"/>
                <w:szCs w:val="20"/>
              </w:rPr>
              <w:t>5</w:t>
            </w:r>
            <w:r w:rsidRPr="00F85CC0">
              <w:rPr>
                <w:rFonts w:ascii="Calibri" w:hAnsi="Calibri"/>
                <w:sz w:val="20"/>
                <w:szCs w:val="20"/>
              </w:rPr>
              <w:t>%</w:t>
            </w:r>
          </w:p>
        </w:tc>
      </w:tr>
      <w:tr w:rsidR="00356750" w:rsidRPr="00F85CC0" w:rsidTr="00397D40">
        <w:trPr>
          <w:trHeight w:val="1"/>
        </w:trPr>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50" w:rsidRPr="00F85CC0" w:rsidRDefault="00356750" w:rsidP="00356750">
            <w:pPr>
              <w:ind w:hanging="2"/>
              <w:rPr>
                <w:rFonts w:ascii="Calibri" w:hAnsi="Calibri"/>
                <w:sz w:val="20"/>
                <w:szCs w:val="20"/>
              </w:rPr>
            </w:pPr>
            <w:r>
              <w:rPr>
                <w:rFonts w:ascii="Calibri" w:hAnsi="Calibri"/>
                <w:sz w:val="20"/>
                <w:szCs w:val="20"/>
              </w:rPr>
              <w:t>4</w:t>
            </w:r>
            <w:r w:rsidRPr="00F85CC0">
              <w:rPr>
                <w:rFonts w:ascii="Calibri" w:hAnsi="Calibri"/>
                <w:sz w:val="20"/>
                <w:szCs w:val="20"/>
              </w:rPr>
              <w:t>.</w:t>
            </w:r>
          </w:p>
        </w:tc>
        <w:tc>
          <w:tcPr>
            <w:tcW w:w="7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50" w:rsidRPr="00356750" w:rsidRDefault="00356750" w:rsidP="00356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textAlignment w:val="baseline"/>
              <w:rPr>
                <w:rFonts w:ascii="Calibri" w:eastAsia="Times New Roman" w:hAnsi="Calibri" w:cs="Calibri"/>
                <w:sz w:val="20"/>
                <w:szCs w:val="20"/>
                <w:lang w:val="en-US" w:eastAsia="pl-PL"/>
              </w:rPr>
            </w:pPr>
            <w:r w:rsidRPr="00356750">
              <w:rPr>
                <w:rFonts w:ascii="Calibri" w:eastAsia="Times New Roman" w:hAnsi="Calibri" w:cs="Calibri"/>
                <w:sz w:val="20"/>
                <w:szCs w:val="20"/>
                <w:lang w:val="en-US" w:eastAsia="pl-PL"/>
              </w:rPr>
              <w:t>total price o</w:t>
            </w:r>
            <w:r>
              <w:rPr>
                <w:rFonts w:ascii="Calibri" w:eastAsia="Times New Roman" w:hAnsi="Calibri" w:cs="Calibri"/>
                <w:sz w:val="20"/>
                <w:szCs w:val="20"/>
                <w:lang w:val="en-US" w:eastAsia="pl-PL"/>
              </w:rPr>
              <w:t>f transport  (8 transports) – 5%, max pts 5 pts (the lowest price – 5</w:t>
            </w:r>
            <w:r w:rsidRPr="00356750">
              <w:rPr>
                <w:rFonts w:ascii="Calibri" w:eastAsia="Times New Roman" w:hAnsi="Calibri" w:cs="Calibri"/>
                <w:sz w:val="20"/>
                <w:szCs w:val="20"/>
                <w:lang w:val="en-US" w:eastAsia="pl-PL"/>
              </w:rPr>
              <w:t>pts, others– 0 pts)</w:t>
            </w:r>
          </w:p>
          <w:p w:rsidR="00356750" w:rsidRPr="00FD4CE8" w:rsidRDefault="00356750" w:rsidP="00356750">
            <w:pPr>
              <w:ind w:hanging="2"/>
              <w:rPr>
                <w:rFonts w:ascii="Calibri" w:hAnsi="Calibri"/>
                <w:sz w:val="20"/>
                <w:szCs w:val="20"/>
                <w:lang w:val="en-US"/>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50" w:rsidRPr="00F85CC0" w:rsidRDefault="00356750" w:rsidP="00356750">
            <w:pPr>
              <w:ind w:hanging="2"/>
              <w:rPr>
                <w:rFonts w:ascii="Calibri" w:hAnsi="Calibri"/>
                <w:sz w:val="20"/>
                <w:szCs w:val="20"/>
              </w:rPr>
            </w:pPr>
            <w:r>
              <w:rPr>
                <w:rFonts w:ascii="Calibri" w:hAnsi="Calibri"/>
                <w:sz w:val="20"/>
                <w:szCs w:val="20"/>
              </w:rPr>
              <w:t>5</w:t>
            </w:r>
            <w:r w:rsidRPr="00F85CC0">
              <w:rPr>
                <w:rFonts w:ascii="Calibri" w:hAnsi="Calibri"/>
                <w:sz w:val="20"/>
                <w:szCs w:val="20"/>
              </w:rPr>
              <w:t>%</w:t>
            </w:r>
          </w:p>
        </w:tc>
      </w:tr>
    </w:tbl>
    <w:p w:rsidR="004E53B1" w:rsidRDefault="004E53B1" w:rsidP="00F4300A">
      <w:pPr>
        <w:autoSpaceDE w:val="0"/>
        <w:autoSpaceDN w:val="0"/>
        <w:adjustRightInd w:val="0"/>
        <w:jc w:val="both"/>
        <w:rPr>
          <w:rFonts w:ascii="Calibri" w:hAnsi="Calibri" w:cstheme="minorHAnsi"/>
          <w:sz w:val="20"/>
          <w:szCs w:val="20"/>
        </w:rPr>
      </w:pPr>
    </w:p>
    <w:p w:rsidR="00F4300A" w:rsidRPr="00FD4CE8" w:rsidRDefault="00F4300A" w:rsidP="00F4300A">
      <w:pPr>
        <w:autoSpaceDE w:val="0"/>
        <w:autoSpaceDN w:val="0"/>
        <w:adjustRightInd w:val="0"/>
        <w:spacing w:after="0" w:line="240" w:lineRule="auto"/>
        <w:jc w:val="both"/>
        <w:rPr>
          <w:rFonts w:cstheme="minorHAnsi"/>
          <w:b/>
          <w:bCs/>
          <w:sz w:val="20"/>
          <w:szCs w:val="20"/>
          <w:lang w:val="en-US"/>
        </w:rPr>
      </w:pPr>
      <w:r w:rsidRPr="00FD4CE8">
        <w:rPr>
          <w:rFonts w:cstheme="minorHAnsi"/>
          <w:b/>
          <w:bCs/>
          <w:sz w:val="20"/>
          <w:szCs w:val="20"/>
          <w:lang w:val="en-US"/>
        </w:rPr>
        <w:t>III Description of Proposal Preparation and Evaluation:</w:t>
      </w:r>
    </w:p>
    <w:p w:rsidR="00F4300A" w:rsidRPr="00FD4CE8" w:rsidRDefault="00F4300A" w:rsidP="00F4300A">
      <w:pPr>
        <w:numPr>
          <w:ilvl w:val="0"/>
          <w:numId w:val="1"/>
        </w:numPr>
        <w:autoSpaceDE w:val="0"/>
        <w:autoSpaceDN w:val="0"/>
        <w:adjustRightInd w:val="0"/>
        <w:spacing w:after="0" w:line="240" w:lineRule="auto"/>
        <w:ind w:right="-46"/>
        <w:jc w:val="both"/>
        <w:rPr>
          <w:rFonts w:cstheme="minorHAnsi"/>
          <w:sz w:val="20"/>
          <w:szCs w:val="20"/>
          <w:lang w:val="en-US"/>
        </w:rPr>
      </w:pPr>
      <w:r w:rsidRPr="00FD4CE8">
        <w:rPr>
          <w:rFonts w:cstheme="minorHAnsi"/>
          <w:sz w:val="20"/>
          <w:szCs w:val="20"/>
          <w:lang w:val="en-US"/>
        </w:rPr>
        <w:t xml:space="preserve">The offer should be prepared on the </w:t>
      </w:r>
      <w:r w:rsidR="00F521E4" w:rsidRPr="00FD4CE8">
        <w:rPr>
          <w:rFonts w:cstheme="minorHAnsi"/>
          <w:sz w:val="20"/>
          <w:szCs w:val="20"/>
          <w:lang w:val="en-US"/>
        </w:rPr>
        <w:t>form attached as Annex 1 to this request for quotation.</w:t>
      </w:r>
    </w:p>
    <w:p w:rsidR="00F4300A" w:rsidRPr="00FD4CE8" w:rsidRDefault="00F4300A" w:rsidP="00F4300A">
      <w:pPr>
        <w:numPr>
          <w:ilvl w:val="0"/>
          <w:numId w:val="1"/>
        </w:numPr>
        <w:autoSpaceDE w:val="0"/>
        <w:autoSpaceDN w:val="0"/>
        <w:adjustRightInd w:val="0"/>
        <w:spacing w:after="0" w:line="240" w:lineRule="auto"/>
        <w:ind w:right="-46"/>
        <w:jc w:val="both"/>
        <w:rPr>
          <w:rFonts w:cstheme="minorHAnsi"/>
          <w:sz w:val="20"/>
          <w:szCs w:val="20"/>
          <w:lang w:val="en-US"/>
        </w:rPr>
      </w:pPr>
      <w:r w:rsidRPr="00FD4CE8">
        <w:rPr>
          <w:rFonts w:cstheme="minorHAnsi"/>
          <w:sz w:val="20"/>
          <w:szCs w:val="20"/>
          <w:lang w:val="en-US"/>
        </w:rPr>
        <w:t>The bid should contain information about the total net and gross value of the contract: The Bidder, whose bid will be selected, before signing the contract shall provide scans of: the certificate of entry into the register of economic activity, REGON certificate and NIP certificate.</w:t>
      </w:r>
    </w:p>
    <w:p w:rsidR="00F4300A" w:rsidRPr="00FD4CE8" w:rsidRDefault="00F4300A" w:rsidP="00F4300A">
      <w:pPr>
        <w:numPr>
          <w:ilvl w:val="0"/>
          <w:numId w:val="1"/>
        </w:numPr>
        <w:autoSpaceDE w:val="0"/>
        <w:autoSpaceDN w:val="0"/>
        <w:adjustRightInd w:val="0"/>
        <w:spacing w:after="0" w:line="240" w:lineRule="auto"/>
        <w:ind w:right="-46"/>
        <w:jc w:val="both"/>
        <w:rPr>
          <w:rFonts w:cstheme="minorHAnsi"/>
          <w:i/>
          <w:color w:val="000000"/>
          <w:sz w:val="20"/>
          <w:szCs w:val="20"/>
          <w:lang w:val="en-US"/>
        </w:rPr>
      </w:pPr>
      <w:r w:rsidRPr="00FD4CE8">
        <w:rPr>
          <w:rFonts w:cstheme="minorHAnsi"/>
          <w:color w:val="000000"/>
          <w:sz w:val="20"/>
          <w:szCs w:val="20"/>
          <w:lang w:val="en-US"/>
        </w:rPr>
        <w:t xml:space="preserve">Bids must be submitted electronically as a scanned original bid via email to:  </w:t>
      </w:r>
      <w:r w:rsidR="004E53B1" w:rsidRPr="00FD4CE8">
        <w:rPr>
          <w:rFonts w:cstheme="minorHAnsi"/>
          <w:b/>
          <w:color w:val="000000"/>
          <w:sz w:val="20"/>
          <w:szCs w:val="20"/>
          <w:lang w:val="en-US"/>
        </w:rPr>
        <w:t>a.zajfert@nencki.edu.pl</w:t>
      </w:r>
    </w:p>
    <w:p w:rsidR="00F4300A" w:rsidRPr="004E53B1" w:rsidRDefault="00F4300A" w:rsidP="00F4300A">
      <w:pPr>
        <w:numPr>
          <w:ilvl w:val="0"/>
          <w:numId w:val="1"/>
        </w:numPr>
        <w:autoSpaceDE w:val="0"/>
        <w:autoSpaceDN w:val="0"/>
        <w:adjustRightInd w:val="0"/>
        <w:spacing w:after="0" w:line="240" w:lineRule="auto"/>
        <w:ind w:right="-46"/>
        <w:jc w:val="both"/>
        <w:rPr>
          <w:rFonts w:cstheme="minorHAnsi"/>
          <w:color w:val="000000"/>
          <w:sz w:val="20"/>
          <w:szCs w:val="20"/>
        </w:rPr>
      </w:pPr>
      <w:r w:rsidRPr="00FD4CE8">
        <w:rPr>
          <w:rFonts w:cstheme="minorHAnsi"/>
          <w:color w:val="000000"/>
          <w:sz w:val="20"/>
          <w:szCs w:val="20"/>
          <w:lang w:val="en-US"/>
        </w:rPr>
        <w:t xml:space="preserve">Please mark your offer in the subject line of your email: </w:t>
      </w:r>
      <w:r w:rsidRPr="00FD4CE8">
        <w:rPr>
          <w:rFonts w:cstheme="minorHAnsi"/>
          <w:b/>
          <w:color w:val="000000"/>
          <w:sz w:val="20"/>
          <w:szCs w:val="20"/>
          <w:lang w:val="en-US"/>
        </w:rPr>
        <w:t xml:space="preserve"> </w:t>
      </w:r>
      <w:r w:rsidR="004E53B1" w:rsidRPr="004E53B1">
        <w:rPr>
          <w:rFonts w:ascii="Calibri" w:hAnsi="Calibri" w:cs="Calibri"/>
          <w:b/>
          <w:sz w:val="20"/>
          <w:szCs w:val="20"/>
          <w:lang w:val="en-US"/>
        </w:rPr>
        <w:t>health monitoring acc. FELASA</w:t>
      </w:r>
    </w:p>
    <w:p w:rsidR="00F4300A" w:rsidRPr="00FD4CE8" w:rsidRDefault="00F4300A" w:rsidP="00F4300A">
      <w:pPr>
        <w:numPr>
          <w:ilvl w:val="0"/>
          <w:numId w:val="1"/>
        </w:numPr>
        <w:autoSpaceDE w:val="0"/>
        <w:autoSpaceDN w:val="0"/>
        <w:adjustRightInd w:val="0"/>
        <w:spacing w:after="0" w:line="240" w:lineRule="auto"/>
        <w:ind w:right="-46"/>
        <w:jc w:val="both"/>
        <w:rPr>
          <w:rFonts w:cstheme="minorHAnsi"/>
          <w:sz w:val="20"/>
          <w:szCs w:val="20"/>
          <w:lang w:val="en-US"/>
        </w:rPr>
      </w:pPr>
      <w:r w:rsidRPr="00FD4CE8">
        <w:rPr>
          <w:rFonts w:cstheme="minorHAnsi"/>
          <w:sz w:val="20"/>
          <w:szCs w:val="20"/>
          <w:lang w:val="en-US"/>
        </w:rPr>
        <w:t>Only those bids that contain all of the elements listed above will be evaluated.</w:t>
      </w:r>
    </w:p>
    <w:p w:rsidR="00F4300A" w:rsidRPr="00FD4CE8" w:rsidRDefault="00F4300A" w:rsidP="00F4300A">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lang w:val="en-US"/>
        </w:rPr>
      </w:pPr>
      <w:r w:rsidRPr="00FD4CE8">
        <w:rPr>
          <w:rFonts w:asciiTheme="minorHAnsi" w:hAnsiTheme="minorHAnsi" w:cs="Arial"/>
          <w:iCs/>
          <w:color w:val="222222"/>
          <w:sz w:val="20"/>
          <w:szCs w:val="20"/>
          <w:lang w:val="en-US"/>
        </w:rPr>
        <w:t>Offers that do not meet the requirements specified in this request for quotation will be rejected (the Contracting Authority will inform the Bidder about the rejection of his offer by sending an e-mail to the address of the Bidder indicated in the offer).</w:t>
      </w:r>
    </w:p>
    <w:p w:rsidR="00F4300A" w:rsidRPr="00FD4CE8" w:rsidRDefault="00F4300A" w:rsidP="00F4300A">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lang w:val="en-US"/>
        </w:rPr>
      </w:pPr>
      <w:r w:rsidRPr="00FD4CE8">
        <w:rPr>
          <w:rFonts w:asciiTheme="minorHAnsi" w:hAnsiTheme="minorHAnsi" w:cs="Arial"/>
          <w:iCs/>
          <w:color w:val="222222"/>
          <w:sz w:val="20"/>
          <w:szCs w:val="20"/>
          <w:lang w:val="en-US"/>
        </w:rPr>
        <w:lastRenderedPageBreak/>
        <w:t xml:space="preserve"> Should there be any obvious miscalculations, typing errors or other obvious mistakes in the tender, the Contracting Authority shall correct them pursuant to the rules defined in the PPL Act (by sending appropriate e-mail information to the Contractor's address indicated in the tender).</w:t>
      </w:r>
    </w:p>
    <w:p w:rsidR="00F4300A" w:rsidRPr="00FD4CE8" w:rsidRDefault="00F4300A" w:rsidP="00F4300A">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lang w:val="en-US"/>
        </w:rPr>
      </w:pPr>
      <w:r w:rsidRPr="00FD4CE8">
        <w:rPr>
          <w:rFonts w:asciiTheme="minorHAnsi" w:hAnsiTheme="minorHAnsi" w:cs="Arial"/>
          <w:iCs/>
          <w:color w:val="222222"/>
          <w:sz w:val="20"/>
          <w:szCs w:val="20"/>
          <w:lang w:val="en-US"/>
        </w:rPr>
        <w:t>In case of inconsistencies in the submitted tenders or issues requiring clarification (especially when an abnormally low price is suspected), the Contracting Authority shall ask the Economic Operator to provide the relevant clarifications and complements (by sending the relevant e-mail information to the Economic Operator's address indicated in the tender) - setting the deadline for response - 2 working days from the date of sending the request.</w:t>
      </w:r>
    </w:p>
    <w:p w:rsidR="00F4300A" w:rsidRPr="00FD4CE8" w:rsidRDefault="00F4300A" w:rsidP="00F4300A">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lang w:val="en-US"/>
        </w:rPr>
      </w:pPr>
      <w:r w:rsidRPr="00FD4CE8">
        <w:rPr>
          <w:rFonts w:asciiTheme="minorHAnsi" w:hAnsiTheme="minorHAnsi" w:cs="Arial"/>
          <w:iCs/>
          <w:color w:val="222222"/>
          <w:sz w:val="20"/>
          <w:szCs w:val="20"/>
          <w:lang w:val="en-US"/>
        </w:rPr>
        <w:t xml:space="preserve"> If a Bidder fails to respond to the request referred to above or if the explanations provided by the Bidder are not complete and exhaustive, the Contracting Authority shall reject the bid (the Contracting Authority shall inform the Bidder that his bid has been rejected by sending an e-mail to the Bidder's address indicated in the bid).</w:t>
      </w:r>
    </w:p>
    <w:p w:rsidR="00F4300A" w:rsidRPr="00FD4CE8" w:rsidRDefault="00F4300A" w:rsidP="00F4300A">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lang w:val="en-US"/>
        </w:rPr>
      </w:pPr>
      <w:r w:rsidRPr="00FD4CE8">
        <w:rPr>
          <w:rFonts w:asciiTheme="minorHAnsi" w:hAnsiTheme="minorHAnsi" w:cs="Arial"/>
          <w:iCs/>
          <w:color w:val="222222"/>
          <w:sz w:val="20"/>
          <w:szCs w:val="20"/>
          <w:lang w:val="en-US"/>
        </w:rPr>
        <w:t xml:space="preserve"> Only non-rejectable bids will be evaluated.</w:t>
      </w:r>
    </w:p>
    <w:p w:rsidR="00F4300A" w:rsidRPr="00FD4CE8" w:rsidRDefault="00F4300A" w:rsidP="00F4300A">
      <w:pPr>
        <w:pStyle w:val="NormalnyWeb"/>
        <w:shd w:val="clear" w:color="auto" w:fill="FFFFFF"/>
        <w:spacing w:before="0" w:beforeAutospacing="0" w:after="0" w:afterAutospacing="0"/>
        <w:ind w:left="357"/>
        <w:jc w:val="both"/>
        <w:rPr>
          <w:rFonts w:asciiTheme="minorHAnsi" w:hAnsiTheme="minorHAnsi" w:cs="Arial"/>
          <w:color w:val="222222"/>
          <w:sz w:val="20"/>
          <w:szCs w:val="20"/>
          <w:lang w:val="en-US"/>
        </w:rPr>
      </w:pPr>
    </w:p>
    <w:p w:rsidR="00F4300A" w:rsidRPr="002329A0" w:rsidRDefault="00F4300A" w:rsidP="00F4300A">
      <w:pPr>
        <w:autoSpaceDE w:val="0"/>
        <w:autoSpaceDN w:val="0"/>
        <w:adjustRightInd w:val="0"/>
        <w:spacing w:after="0" w:line="240" w:lineRule="auto"/>
        <w:ind w:right="545"/>
        <w:jc w:val="both"/>
        <w:rPr>
          <w:rFonts w:cstheme="minorHAnsi"/>
          <w:b/>
          <w:bCs/>
          <w:sz w:val="20"/>
          <w:szCs w:val="20"/>
        </w:rPr>
      </w:pPr>
      <w:r>
        <w:rPr>
          <w:rFonts w:cstheme="minorHAnsi"/>
          <w:b/>
          <w:bCs/>
          <w:sz w:val="20"/>
          <w:szCs w:val="20"/>
        </w:rPr>
        <w:t xml:space="preserve">IV </w:t>
      </w:r>
      <w:r w:rsidRPr="002329A0">
        <w:rPr>
          <w:rFonts w:cstheme="minorHAnsi"/>
          <w:b/>
          <w:bCs/>
          <w:sz w:val="20"/>
          <w:szCs w:val="20"/>
        </w:rPr>
        <w:t>Additional Information:</w:t>
      </w:r>
    </w:p>
    <w:p w:rsidR="00F4300A" w:rsidRDefault="00F4300A" w:rsidP="00F4300A">
      <w:pPr>
        <w:pStyle w:val="Akapitzlist"/>
        <w:numPr>
          <w:ilvl w:val="0"/>
          <w:numId w:val="2"/>
        </w:numPr>
        <w:tabs>
          <w:tab w:val="clear" w:pos="720"/>
          <w:tab w:val="num" w:pos="426"/>
        </w:tabs>
        <w:autoSpaceDE w:val="0"/>
        <w:autoSpaceDN w:val="0"/>
        <w:adjustRightInd w:val="0"/>
        <w:spacing w:after="0" w:line="240" w:lineRule="auto"/>
        <w:ind w:right="-46" w:hanging="720"/>
        <w:jc w:val="both"/>
        <w:rPr>
          <w:rFonts w:asciiTheme="minorHAnsi" w:hAnsiTheme="minorHAnsi" w:cstheme="minorHAnsi"/>
          <w:sz w:val="20"/>
          <w:szCs w:val="20"/>
          <w:lang w:val="en-US"/>
        </w:rPr>
      </w:pPr>
      <w:r w:rsidRPr="00FD4CE8">
        <w:rPr>
          <w:rFonts w:asciiTheme="minorHAnsi" w:hAnsiTheme="minorHAnsi" w:cstheme="minorHAnsi"/>
          <w:sz w:val="20"/>
          <w:szCs w:val="20"/>
          <w:lang w:val="en-US"/>
        </w:rPr>
        <w:t>A contract will be signed with the selected Contractor to execute the contract.</w:t>
      </w:r>
    </w:p>
    <w:p w:rsidR="00FD4CE8" w:rsidRPr="00FD4CE8" w:rsidRDefault="00FD4CE8" w:rsidP="00F4300A">
      <w:pPr>
        <w:pStyle w:val="Akapitzlist"/>
        <w:numPr>
          <w:ilvl w:val="0"/>
          <w:numId w:val="2"/>
        </w:numPr>
        <w:tabs>
          <w:tab w:val="clear" w:pos="720"/>
          <w:tab w:val="num" w:pos="426"/>
        </w:tabs>
        <w:autoSpaceDE w:val="0"/>
        <w:autoSpaceDN w:val="0"/>
        <w:adjustRightInd w:val="0"/>
        <w:spacing w:after="0" w:line="240" w:lineRule="auto"/>
        <w:ind w:right="-46" w:hanging="72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The Contract will be </w:t>
      </w:r>
      <w:r w:rsidR="00AB7468">
        <w:rPr>
          <w:rFonts w:asciiTheme="minorHAnsi" w:hAnsiTheme="minorHAnsi" w:cstheme="minorHAnsi"/>
          <w:sz w:val="20"/>
          <w:szCs w:val="20"/>
          <w:lang w:val="en-US"/>
        </w:rPr>
        <w:t>concluded for a period of 12 months.</w:t>
      </w:r>
    </w:p>
    <w:p w:rsidR="00F4300A" w:rsidRPr="00FD4CE8" w:rsidRDefault="00F4300A" w:rsidP="00F4300A">
      <w:pPr>
        <w:numPr>
          <w:ilvl w:val="0"/>
          <w:numId w:val="2"/>
        </w:numPr>
        <w:tabs>
          <w:tab w:val="clear" w:pos="720"/>
          <w:tab w:val="num" w:pos="426"/>
        </w:tabs>
        <w:autoSpaceDE w:val="0"/>
        <w:autoSpaceDN w:val="0"/>
        <w:adjustRightInd w:val="0"/>
        <w:spacing w:after="0" w:line="240" w:lineRule="auto"/>
        <w:ind w:left="426" w:right="-46" w:hanging="426"/>
        <w:jc w:val="both"/>
        <w:rPr>
          <w:rFonts w:cstheme="minorHAnsi"/>
          <w:sz w:val="20"/>
          <w:szCs w:val="20"/>
          <w:lang w:val="en-US"/>
        </w:rPr>
      </w:pPr>
      <w:r w:rsidRPr="00FD4CE8">
        <w:rPr>
          <w:rFonts w:cstheme="minorHAnsi"/>
          <w:sz w:val="20"/>
          <w:szCs w:val="20"/>
          <w:lang w:val="en-US"/>
        </w:rPr>
        <w:t>The maximum completion date under the contract</w:t>
      </w:r>
      <w:r w:rsidR="00FD4CE8">
        <w:rPr>
          <w:rFonts w:cstheme="minorHAnsi"/>
          <w:sz w:val="20"/>
          <w:szCs w:val="20"/>
          <w:lang w:val="en-US"/>
        </w:rPr>
        <w:t xml:space="preserve"> (part of the order)</w:t>
      </w:r>
      <w:r w:rsidRPr="00FD4CE8">
        <w:rPr>
          <w:rFonts w:cstheme="minorHAnsi"/>
          <w:sz w:val="20"/>
          <w:szCs w:val="20"/>
          <w:lang w:val="en-US"/>
        </w:rPr>
        <w:t xml:space="preserve"> is up </w:t>
      </w:r>
      <w:r w:rsidR="003F2D51" w:rsidRPr="00FD4CE8">
        <w:rPr>
          <w:rFonts w:cstheme="minorHAnsi"/>
          <w:sz w:val="20"/>
          <w:szCs w:val="20"/>
          <w:lang w:val="en-US"/>
        </w:rPr>
        <w:t xml:space="preserve">to: </w:t>
      </w:r>
      <w:r w:rsidR="001A3289">
        <w:rPr>
          <w:rFonts w:cstheme="minorHAnsi"/>
          <w:sz w:val="20"/>
          <w:szCs w:val="20"/>
          <w:lang w:val="en-US"/>
        </w:rPr>
        <w:t>10</w:t>
      </w:r>
      <w:r w:rsidR="00FD4CE8">
        <w:rPr>
          <w:rFonts w:cstheme="minorHAnsi"/>
          <w:sz w:val="20"/>
          <w:szCs w:val="20"/>
          <w:lang w:val="en-US"/>
        </w:rPr>
        <w:t xml:space="preserve"> days </w:t>
      </w:r>
      <w:r w:rsidRPr="00FD4CE8">
        <w:rPr>
          <w:rFonts w:cstheme="minorHAnsi"/>
          <w:sz w:val="20"/>
          <w:szCs w:val="20"/>
          <w:lang w:val="en-US"/>
        </w:rPr>
        <w:t>(the declared delivery date shall be indicated by the Contractor in the tender).</w:t>
      </w:r>
    </w:p>
    <w:p w:rsidR="00F4300A" w:rsidRPr="00FD4CE8" w:rsidRDefault="00F4300A" w:rsidP="00F4300A">
      <w:pPr>
        <w:numPr>
          <w:ilvl w:val="0"/>
          <w:numId w:val="2"/>
        </w:numPr>
        <w:tabs>
          <w:tab w:val="clear" w:pos="720"/>
          <w:tab w:val="num" w:pos="426"/>
        </w:tabs>
        <w:autoSpaceDE w:val="0"/>
        <w:autoSpaceDN w:val="0"/>
        <w:adjustRightInd w:val="0"/>
        <w:spacing w:after="0" w:line="240" w:lineRule="auto"/>
        <w:ind w:left="426" w:right="-46" w:hanging="426"/>
        <w:jc w:val="both"/>
        <w:rPr>
          <w:rFonts w:cstheme="minorHAnsi"/>
          <w:sz w:val="20"/>
          <w:szCs w:val="20"/>
          <w:lang w:val="en-US"/>
        </w:rPr>
      </w:pPr>
      <w:r w:rsidRPr="00FD4CE8">
        <w:rPr>
          <w:rFonts w:cstheme="minorHAnsi"/>
          <w:sz w:val="20"/>
          <w:szCs w:val="20"/>
          <w:lang w:val="en-US"/>
        </w:rPr>
        <w:t>The Contracting Authority reserves the right to negotiate contract terms with the best Contractors.</w:t>
      </w:r>
    </w:p>
    <w:p w:rsidR="00F4300A" w:rsidRPr="00FD4CE8" w:rsidRDefault="00F4300A" w:rsidP="00F4300A">
      <w:pPr>
        <w:numPr>
          <w:ilvl w:val="0"/>
          <w:numId w:val="2"/>
        </w:numPr>
        <w:tabs>
          <w:tab w:val="clear" w:pos="720"/>
          <w:tab w:val="num" w:pos="426"/>
        </w:tabs>
        <w:autoSpaceDE w:val="0"/>
        <w:autoSpaceDN w:val="0"/>
        <w:adjustRightInd w:val="0"/>
        <w:spacing w:after="0" w:line="240" w:lineRule="auto"/>
        <w:ind w:left="426" w:right="-46" w:hanging="426"/>
        <w:jc w:val="both"/>
        <w:rPr>
          <w:rFonts w:cstheme="minorHAnsi"/>
          <w:sz w:val="20"/>
          <w:szCs w:val="20"/>
          <w:lang w:val="en-US"/>
        </w:rPr>
      </w:pPr>
      <w:r w:rsidRPr="00FD4CE8">
        <w:rPr>
          <w:rFonts w:cstheme="minorHAnsi"/>
          <w:sz w:val="20"/>
          <w:szCs w:val="20"/>
          <w:lang w:val="en-US"/>
        </w:rPr>
        <w:t>The Contracting Authority reserves the right not to select any Contractor.</w:t>
      </w:r>
    </w:p>
    <w:p w:rsidR="00F4300A" w:rsidRPr="00FD4CE8" w:rsidRDefault="00F4300A" w:rsidP="00F4300A">
      <w:pPr>
        <w:numPr>
          <w:ilvl w:val="0"/>
          <w:numId w:val="2"/>
        </w:numPr>
        <w:tabs>
          <w:tab w:val="clear" w:pos="720"/>
          <w:tab w:val="num" w:pos="426"/>
        </w:tabs>
        <w:autoSpaceDE w:val="0"/>
        <w:autoSpaceDN w:val="0"/>
        <w:adjustRightInd w:val="0"/>
        <w:spacing w:after="0" w:line="240" w:lineRule="auto"/>
        <w:ind w:left="426" w:right="-46" w:hanging="426"/>
        <w:jc w:val="both"/>
        <w:rPr>
          <w:rFonts w:cstheme="minorHAnsi"/>
          <w:b/>
          <w:sz w:val="20"/>
          <w:szCs w:val="20"/>
          <w:lang w:val="en-US"/>
        </w:rPr>
      </w:pPr>
      <w:r w:rsidRPr="00FD4CE8">
        <w:rPr>
          <w:rFonts w:cstheme="minorHAnsi"/>
          <w:sz w:val="20"/>
          <w:szCs w:val="20"/>
          <w:lang w:val="en-US"/>
        </w:rPr>
        <w:t>The selection of the Economic Operator will be announced on the website. The Contracting Authority's website as soon as the procedure is completed.</w:t>
      </w:r>
    </w:p>
    <w:p w:rsidR="00F4300A" w:rsidRPr="00FD4CE8" w:rsidRDefault="00F4300A" w:rsidP="00F4300A">
      <w:pPr>
        <w:pStyle w:val="Tekstwstpniesformatowany"/>
        <w:ind w:left="850"/>
        <w:jc w:val="both"/>
        <w:rPr>
          <w:rFonts w:ascii="Calibri" w:hAnsi="Calibri"/>
          <w:sz w:val="20"/>
          <w:szCs w:val="20"/>
          <w:lang w:val="en-US"/>
        </w:rPr>
      </w:pPr>
    </w:p>
    <w:p w:rsidR="00F4300A" w:rsidRPr="00FD4CE8" w:rsidRDefault="00F4300A" w:rsidP="00F4300A">
      <w:pPr>
        <w:pStyle w:val="Tekstwstpniesformatowany"/>
        <w:ind w:left="850"/>
        <w:jc w:val="both"/>
        <w:rPr>
          <w:rFonts w:ascii="Calibri" w:hAnsi="Calibri"/>
          <w:sz w:val="20"/>
          <w:szCs w:val="20"/>
          <w:lang w:val="en-US"/>
        </w:rPr>
      </w:pPr>
    </w:p>
    <w:p w:rsidR="00F521E4" w:rsidRPr="001A3289" w:rsidRDefault="00F521E4" w:rsidP="00F521E4">
      <w:pPr>
        <w:autoSpaceDE w:val="0"/>
        <w:spacing w:after="0" w:line="240" w:lineRule="auto"/>
        <w:rPr>
          <w:rFonts w:cstheme="minorHAnsi"/>
          <w:color w:val="000000"/>
          <w:sz w:val="20"/>
          <w:szCs w:val="20"/>
          <w:lang w:val="en-US"/>
        </w:rPr>
      </w:pPr>
    </w:p>
    <w:p w:rsidR="00F521E4" w:rsidRPr="00FD4CE8" w:rsidRDefault="00F521E4" w:rsidP="00F521E4">
      <w:pPr>
        <w:autoSpaceDE w:val="0"/>
        <w:spacing w:after="0" w:line="240" w:lineRule="auto"/>
        <w:rPr>
          <w:rFonts w:cstheme="minorHAnsi"/>
          <w:lang w:val="en-US"/>
        </w:rPr>
      </w:pPr>
    </w:p>
    <w:p w:rsidR="00022033" w:rsidRDefault="00022033"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Default="00FD4CE8" w:rsidP="00022033">
      <w:pPr>
        <w:autoSpaceDE w:val="0"/>
        <w:autoSpaceDN w:val="0"/>
        <w:adjustRightInd w:val="0"/>
        <w:spacing w:after="0" w:line="240" w:lineRule="auto"/>
        <w:ind w:right="545"/>
        <w:jc w:val="both"/>
        <w:rPr>
          <w:rFonts w:cstheme="minorHAnsi"/>
          <w:sz w:val="20"/>
          <w:szCs w:val="20"/>
          <w:lang w:val="en-US"/>
        </w:rPr>
      </w:pPr>
    </w:p>
    <w:p w:rsidR="00FD4CE8" w:rsidRPr="00FD4CE8" w:rsidRDefault="00FD4CE8" w:rsidP="00022033">
      <w:pPr>
        <w:autoSpaceDE w:val="0"/>
        <w:autoSpaceDN w:val="0"/>
        <w:adjustRightInd w:val="0"/>
        <w:spacing w:after="0" w:line="240" w:lineRule="auto"/>
        <w:ind w:right="545"/>
        <w:jc w:val="both"/>
        <w:rPr>
          <w:rFonts w:cstheme="minorHAnsi"/>
          <w:sz w:val="20"/>
          <w:szCs w:val="20"/>
          <w:lang w:val="en-US"/>
        </w:rPr>
      </w:pPr>
    </w:p>
    <w:p w:rsidR="00BE4992" w:rsidRPr="00FD4CE8" w:rsidRDefault="00BE4992" w:rsidP="00022033">
      <w:pPr>
        <w:autoSpaceDE w:val="0"/>
        <w:autoSpaceDN w:val="0"/>
        <w:adjustRightInd w:val="0"/>
        <w:spacing w:after="0" w:line="240" w:lineRule="auto"/>
        <w:ind w:right="545"/>
        <w:jc w:val="both"/>
        <w:rPr>
          <w:rFonts w:cstheme="minorHAnsi"/>
          <w:sz w:val="20"/>
          <w:szCs w:val="20"/>
          <w:lang w:val="en-US"/>
        </w:rPr>
      </w:pPr>
    </w:p>
    <w:p w:rsidR="00BE4992" w:rsidRPr="00FD4CE8" w:rsidRDefault="00BE4992" w:rsidP="00BE4992">
      <w:pPr>
        <w:pStyle w:val="Tekstwstpniesformatowany"/>
        <w:ind w:left="850"/>
        <w:jc w:val="both"/>
        <w:rPr>
          <w:rFonts w:cstheme="minorHAnsi"/>
          <w:sz w:val="20"/>
          <w:szCs w:val="20"/>
          <w:lang w:val="en-US"/>
        </w:rPr>
      </w:pPr>
    </w:p>
    <w:p w:rsidR="00BE4992" w:rsidRPr="00FD4CE8" w:rsidRDefault="00BE4992" w:rsidP="00BE4992">
      <w:pPr>
        <w:pStyle w:val="Stopka"/>
        <w:pBdr>
          <w:top w:val="thinThickSmallGap" w:sz="24" w:space="0" w:color="622423"/>
        </w:pBdr>
        <w:tabs>
          <w:tab w:val="clear" w:pos="4536"/>
        </w:tabs>
        <w:jc w:val="center"/>
        <w:rPr>
          <w:rFonts w:asciiTheme="minorHAnsi" w:hAnsiTheme="minorHAnsi" w:cstheme="minorHAnsi"/>
          <w:lang w:val="en-US"/>
        </w:rPr>
      </w:pPr>
      <w:r w:rsidRPr="00FD4CE8">
        <w:rPr>
          <w:rFonts w:asciiTheme="minorHAnsi" w:hAnsiTheme="minorHAnsi" w:cstheme="minorHAnsi"/>
          <w:color w:val="365F91"/>
          <w:lang w:val="en-US"/>
        </w:rPr>
        <w:t xml:space="preserve">Pasteur 3, 02-093 Warsaw, </w:t>
      </w:r>
      <w:hyperlink r:id="rId7" w:history="1">
        <w:r w:rsidRPr="00E33F1B">
          <w:rPr>
            <w:rStyle w:val="Hipercze"/>
            <w:rFonts w:asciiTheme="minorHAnsi" w:hAnsiTheme="minorHAnsi" w:cstheme="minorHAnsi"/>
            <w:color w:val="365F91"/>
            <w:lang w:val="it-IT"/>
          </w:rPr>
          <w:t>http://www.nencki.</w:t>
        </w:r>
        <w:r w:rsidR="00076946">
          <w:rPr>
            <w:rStyle w:val="Hipercze"/>
            <w:rFonts w:asciiTheme="minorHAnsi" w:hAnsiTheme="minorHAnsi" w:cstheme="minorHAnsi"/>
            <w:color w:val="365F91"/>
            <w:lang w:val="it-IT"/>
          </w:rPr>
          <w:t>edu</w:t>
        </w:r>
        <w:r w:rsidRPr="00E33F1B">
          <w:rPr>
            <w:rStyle w:val="Hipercze"/>
            <w:rFonts w:asciiTheme="minorHAnsi" w:hAnsiTheme="minorHAnsi" w:cstheme="minorHAnsi"/>
            <w:color w:val="365F91"/>
            <w:lang w:val="it-IT"/>
          </w:rPr>
          <w:t>.pl_</w:t>
        </w:r>
      </w:hyperlink>
    </w:p>
    <w:p w:rsidR="00BE4992" w:rsidRPr="00FD4CE8" w:rsidRDefault="00BE4992" w:rsidP="00022033">
      <w:pPr>
        <w:autoSpaceDE w:val="0"/>
        <w:autoSpaceDN w:val="0"/>
        <w:adjustRightInd w:val="0"/>
        <w:spacing w:after="0" w:line="240" w:lineRule="auto"/>
        <w:ind w:right="545"/>
        <w:jc w:val="both"/>
        <w:rPr>
          <w:rFonts w:cstheme="minorHAnsi"/>
          <w:sz w:val="20"/>
          <w:szCs w:val="20"/>
          <w:lang w:val="en-US"/>
        </w:rPr>
      </w:pPr>
    </w:p>
    <w:sectPr w:rsidR="00BE4992" w:rsidRPr="00FD4CE8" w:rsidSect="001C1619">
      <w:pgSz w:w="11906" w:h="16838"/>
      <w:pgMar w:top="1135"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0085" w16cex:dateUtc="2021-01-02T13:2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9.5pt;visibility:visible" o:bullet="t">
        <v:imagedata r:id="rId1" o:title=""/>
      </v:shape>
    </w:pict>
  </w:numPicBullet>
  <w:numPicBullet w:numPicBulletId="1">
    <w:pict>
      <v:shape id="_x0000_i1029" type="#_x0000_t75" style="width:18.75pt;height:18.75pt;visibility:visible" o:bullet="t">
        <v:imagedata r:id="rId2" o:title=""/>
      </v:shape>
    </w:pict>
  </w:numPicBullet>
  <w:abstractNum w:abstractNumId="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75B6B62"/>
    <w:multiLevelType w:val="hybridMultilevel"/>
    <w:tmpl w:val="B5C0F8B8"/>
    <w:lvl w:ilvl="0" w:tplc="67B029AC">
      <w:start w:val="1"/>
      <w:numFmt w:val="decimal"/>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4638D8"/>
    <w:multiLevelType w:val="hybridMultilevel"/>
    <w:tmpl w:val="0A522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nsid w:val="294B4EDD"/>
    <w:multiLevelType w:val="hybridMultilevel"/>
    <w:tmpl w:val="8A405A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9AA240B"/>
    <w:multiLevelType w:val="hybridMultilevel"/>
    <w:tmpl w:val="F1DE9A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67822AB"/>
    <w:multiLevelType w:val="hybridMultilevel"/>
    <w:tmpl w:val="5CEC24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700138D"/>
    <w:multiLevelType w:val="hybridMultilevel"/>
    <w:tmpl w:val="976CAB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672127F"/>
    <w:multiLevelType w:val="hybridMultilevel"/>
    <w:tmpl w:val="847AB2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BF479C5"/>
    <w:multiLevelType w:val="hybridMultilevel"/>
    <w:tmpl w:val="A4BEC0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3A4453A"/>
    <w:multiLevelType w:val="hybridMultilevel"/>
    <w:tmpl w:val="F27AB6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A8962B9"/>
    <w:multiLevelType w:val="hybridMultilevel"/>
    <w:tmpl w:val="4C64FE3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3345DB7"/>
    <w:multiLevelType w:val="hybridMultilevel"/>
    <w:tmpl w:val="0FA8DD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7195A6E"/>
    <w:multiLevelType w:val="hybridMultilevel"/>
    <w:tmpl w:val="858A78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6"/>
  </w:num>
  <w:num w:numId="6">
    <w:abstractNumId w:val="12"/>
  </w:num>
  <w:num w:numId="7">
    <w:abstractNumId w:val="8"/>
  </w:num>
  <w:num w:numId="8">
    <w:abstractNumId w:val="11"/>
  </w:num>
  <w:num w:numId="9">
    <w:abstractNumId w:val="4"/>
  </w:num>
  <w:num w:numId="10">
    <w:abstractNumId w:val="10"/>
  </w:num>
  <w:num w:numId="11">
    <w:abstractNumId w:val="5"/>
  </w:num>
  <w:num w:numId="12">
    <w:abstractNumId w:val="7"/>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83"/>
    <w:rsid w:val="00022033"/>
    <w:rsid w:val="00076946"/>
    <w:rsid w:val="00092BB7"/>
    <w:rsid w:val="00132E57"/>
    <w:rsid w:val="001A3289"/>
    <w:rsid w:val="001C1619"/>
    <w:rsid w:val="002329A0"/>
    <w:rsid w:val="002B1283"/>
    <w:rsid w:val="002D5DDF"/>
    <w:rsid w:val="002F09DC"/>
    <w:rsid w:val="00356750"/>
    <w:rsid w:val="003C6937"/>
    <w:rsid w:val="003F2D51"/>
    <w:rsid w:val="004E53B1"/>
    <w:rsid w:val="005D20B8"/>
    <w:rsid w:val="006969EF"/>
    <w:rsid w:val="008138D3"/>
    <w:rsid w:val="00813F3E"/>
    <w:rsid w:val="009B2081"/>
    <w:rsid w:val="009E4E1D"/>
    <w:rsid w:val="009F2672"/>
    <w:rsid w:val="00A67081"/>
    <w:rsid w:val="00AB7468"/>
    <w:rsid w:val="00BA574B"/>
    <w:rsid w:val="00BB740A"/>
    <w:rsid w:val="00BE4992"/>
    <w:rsid w:val="00E22B5B"/>
    <w:rsid w:val="00E57603"/>
    <w:rsid w:val="00F40455"/>
    <w:rsid w:val="00F4300A"/>
    <w:rsid w:val="00F521E4"/>
    <w:rsid w:val="00FD4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paragraph" w:customStyle="1" w:styleId="Tekstwstpniesformatowany">
    <w:name w:val="Tekst wstępnie sformatowany"/>
    <w:basedOn w:val="Normalny"/>
    <w:qFormat/>
    <w:rsid w:val="00F4300A"/>
    <w:pPr>
      <w:spacing w:after="0" w:line="240" w:lineRule="auto"/>
    </w:pPr>
    <w:rPr>
      <w:rFonts w:ascii="Times New Roman" w:eastAsia="Times New Roman" w:hAnsi="Times New Roman" w:cs="Times New Roman"/>
      <w:color w:val="00000A"/>
      <w:sz w:val="24"/>
      <w:szCs w:val="24"/>
      <w:lang w:eastAsia="pl-PL" w:bidi="hi-IN"/>
    </w:rPr>
  </w:style>
  <w:style w:type="paragraph" w:styleId="NormalnyWeb">
    <w:name w:val="Normal (Web)"/>
    <w:basedOn w:val="Normalny"/>
    <w:uiPriority w:val="99"/>
    <w:semiHidden/>
    <w:unhideWhenUsed/>
    <w:rsid w:val="00F430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2D5DDF"/>
    <w:rPr>
      <w:sz w:val="16"/>
      <w:szCs w:val="16"/>
    </w:rPr>
  </w:style>
  <w:style w:type="paragraph" w:styleId="Tekstkomentarza">
    <w:name w:val="annotation text"/>
    <w:basedOn w:val="Normalny"/>
    <w:link w:val="TekstkomentarzaZnak"/>
    <w:uiPriority w:val="99"/>
    <w:semiHidden/>
    <w:unhideWhenUsed/>
    <w:rsid w:val="002D5D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5DDF"/>
    <w:rPr>
      <w:sz w:val="20"/>
      <w:szCs w:val="20"/>
    </w:rPr>
  </w:style>
  <w:style w:type="paragraph" w:styleId="Tematkomentarza">
    <w:name w:val="annotation subject"/>
    <w:basedOn w:val="Tekstkomentarza"/>
    <w:next w:val="Tekstkomentarza"/>
    <w:link w:val="TematkomentarzaZnak"/>
    <w:uiPriority w:val="99"/>
    <w:semiHidden/>
    <w:unhideWhenUsed/>
    <w:rsid w:val="002D5DDF"/>
    <w:rPr>
      <w:b/>
      <w:bCs/>
    </w:rPr>
  </w:style>
  <w:style w:type="character" w:customStyle="1" w:styleId="TematkomentarzaZnak">
    <w:name w:val="Temat komentarza Znak"/>
    <w:basedOn w:val="TekstkomentarzaZnak"/>
    <w:link w:val="Tematkomentarza"/>
    <w:uiPriority w:val="99"/>
    <w:semiHidden/>
    <w:rsid w:val="002D5DDF"/>
    <w:rPr>
      <w:b/>
      <w:bCs/>
      <w:sz w:val="20"/>
      <w:szCs w:val="20"/>
    </w:rPr>
  </w:style>
  <w:style w:type="paragraph" w:styleId="Tekstdymka">
    <w:name w:val="Balloon Text"/>
    <w:basedOn w:val="Normalny"/>
    <w:link w:val="TekstdymkaZnak"/>
    <w:uiPriority w:val="99"/>
    <w:semiHidden/>
    <w:unhideWhenUsed/>
    <w:rsid w:val="002D5D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5D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paragraph" w:customStyle="1" w:styleId="Tekstwstpniesformatowany">
    <w:name w:val="Tekst wstępnie sformatowany"/>
    <w:basedOn w:val="Normalny"/>
    <w:qFormat/>
    <w:rsid w:val="00F4300A"/>
    <w:pPr>
      <w:spacing w:after="0" w:line="240" w:lineRule="auto"/>
    </w:pPr>
    <w:rPr>
      <w:rFonts w:ascii="Times New Roman" w:eastAsia="Times New Roman" w:hAnsi="Times New Roman" w:cs="Times New Roman"/>
      <w:color w:val="00000A"/>
      <w:sz w:val="24"/>
      <w:szCs w:val="24"/>
      <w:lang w:eastAsia="pl-PL" w:bidi="hi-IN"/>
    </w:rPr>
  </w:style>
  <w:style w:type="paragraph" w:styleId="NormalnyWeb">
    <w:name w:val="Normal (Web)"/>
    <w:basedOn w:val="Normalny"/>
    <w:uiPriority w:val="99"/>
    <w:semiHidden/>
    <w:unhideWhenUsed/>
    <w:rsid w:val="00F430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2D5DDF"/>
    <w:rPr>
      <w:sz w:val="16"/>
      <w:szCs w:val="16"/>
    </w:rPr>
  </w:style>
  <w:style w:type="paragraph" w:styleId="Tekstkomentarza">
    <w:name w:val="annotation text"/>
    <w:basedOn w:val="Normalny"/>
    <w:link w:val="TekstkomentarzaZnak"/>
    <w:uiPriority w:val="99"/>
    <w:semiHidden/>
    <w:unhideWhenUsed/>
    <w:rsid w:val="002D5D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5DDF"/>
    <w:rPr>
      <w:sz w:val="20"/>
      <w:szCs w:val="20"/>
    </w:rPr>
  </w:style>
  <w:style w:type="paragraph" w:styleId="Tematkomentarza">
    <w:name w:val="annotation subject"/>
    <w:basedOn w:val="Tekstkomentarza"/>
    <w:next w:val="Tekstkomentarza"/>
    <w:link w:val="TematkomentarzaZnak"/>
    <w:uiPriority w:val="99"/>
    <w:semiHidden/>
    <w:unhideWhenUsed/>
    <w:rsid w:val="002D5DDF"/>
    <w:rPr>
      <w:b/>
      <w:bCs/>
    </w:rPr>
  </w:style>
  <w:style w:type="character" w:customStyle="1" w:styleId="TematkomentarzaZnak">
    <w:name w:val="Temat komentarza Znak"/>
    <w:basedOn w:val="TekstkomentarzaZnak"/>
    <w:link w:val="Tematkomentarza"/>
    <w:uiPriority w:val="99"/>
    <w:semiHidden/>
    <w:rsid w:val="002D5DDF"/>
    <w:rPr>
      <w:b/>
      <w:bCs/>
      <w:sz w:val="20"/>
      <w:szCs w:val="20"/>
    </w:rPr>
  </w:style>
  <w:style w:type="paragraph" w:styleId="Tekstdymka">
    <w:name w:val="Balloon Text"/>
    <w:basedOn w:val="Normalny"/>
    <w:link w:val="TekstdymkaZnak"/>
    <w:uiPriority w:val="99"/>
    <w:semiHidden/>
    <w:unhideWhenUsed/>
    <w:rsid w:val="002D5D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5D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encki.gov.pl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731</TotalTime>
  <Pages>1</Pages>
  <Words>1090</Words>
  <Characters>6540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Stefaniuk</dc:creator>
  <cp:keywords/>
  <dc:description/>
  <cp:lastModifiedBy>Iczaplarska</cp:lastModifiedBy>
  <cp:revision>18</cp:revision>
  <dcterms:created xsi:type="dcterms:W3CDTF">2021-03-17T10:41:00Z</dcterms:created>
  <dcterms:modified xsi:type="dcterms:W3CDTF">2021-04-27T14:13:00Z</dcterms:modified>
</cp:coreProperties>
</file>