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E66959">
        <w:rPr>
          <w:rFonts w:cstheme="minorHAnsi"/>
          <w:b/>
          <w:sz w:val="20"/>
          <w:szCs w:val="20"/>
        </w:rPr>
        <w:t>Dygestorium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442"/>
        <w:gridCol w:w="1418"/>
        <w:gridCol w:w="1559"/>
      </w:tblGrid>
      <w:tr w:rsidR="00F95E30" w:rsidRPr="008778C7" w:rsidTr="00F95E30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95E30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442" w:type="dxa"/>
          </w:tcPr>
          <w:p w:rsidR="003B1115" w:rsidRPr="003B1115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1115">
              <w:rPr>
                <w:rFonts w:cstheme="minorHAnsi"/>
                <w:b/>
                <w:sz w:val="20"/>
                <w:szCs w:val="20"/>
              </w:rPr>
              <w:t>Dygestorium o następujących parametrach:</w:t>
            </w:r>
          </w:p>
          <w:p w:rsidR="003B1115" w:rsidRDefault="003B1115" w:rsidP="003B111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6C4038">
              <w:rPr>
                <w:rFonts w:cstheme="minorHAnsi"/>
                <w:sz w:val="20"/>
                <w:szCs w:val="20"/>
              </w:rPr>
              <w:t>Wymiary urządzenia typu 1500: 1500mm x 2420mm +/-30mm, głębokość maksymalnie 950mm.</w:t>
            </w:r>
          </w:p>
          <w:p w:rsidR="003B1115" w:rsidRPr="006C4038" w:rsidRDefault="003B1115" w:rsidP="003B111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993"/>
              <w:rPr>
                <w:rFonts w:cstheme="minorHAnsi"/>
                <w:sz w:val="20"/>
                <w:szCs w:val="20"/>
              </w:rPr>
            </w:pPr>
          </w:p>
          <w:p w:rsidR="003B1115" w:rsidRPr="006C4038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C4038">
              <w:rPr>
                <w:rFonts w:cstheme="minorHAnsi"/>
                <w:b/>
                <w:sz w:val="20"/>
                <w:szCs w:val="20"/>
              </w:rPr>
              <w:t xml:space="preserve">Wyposażenie: </w:t>
            </w:r>
          </w:p>
          <w:p w:rsidR="003B1115" w:rsidRPr="006C4038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6C4038">
              <w:rPr>
                <w:rFonts w:cstheme="minorHAnsi"/>
                <w:sz w:val="20"/>
                <w:szCs w:val="20"/>
                <w:u w:val="single"/>
              </w:rPr>
              <w:t>Blat roboczy i jego parametry: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Blat roboczy z ceramiki monolitycznej technicznej ze zintegrowanym podniesionym obrzeżem ceramicznym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Głębokość blatu roboczego min. 750mm, blat na wysokości 900mm+/-30mm.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Blat roboczy montowany na konstrukcji stelaża, nie wymagające żadnych dodatkowych konstrukcji podtrzymujących ani płyt bazowych.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Grubość blatu 25 mm +/-3mm, z podniesionym obrzeżem 32mm +/-3mm.</w:t>
            </w:r>
          </w:p>
          <w:p w:rsidR="003B1115" w:rsidRDefault="003B1115" w:rsidP="003B111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Blat odporny na wszelkie kwasy, zasady, rozpuszczalniki i barwniki we wszelkich stężeniach i temperaturach stosowanych w laboratoriach (jedyny wyjątek stanowi kwas HF).</w:t>
            </w:r>
          </w:p>
          <w:p w:rsidR="003B1115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23C59" w:rsidRPr="0024073E" w:rsidRDefault="00223C59" w:rsidP="00223C5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cstheme="minorHAnsi"/>
                <w:sz w:val="20"/>
                <w:szCs w:val="20"/>
                <w:u w:val="single"/>
              </w:rPr>
            </w:pPr>
            <w:r w:rsidRPr="0024073E">
              <w:rPr>
                <w:rFonts w:cstheme="minorHAnsi"/>
                <w:sz w:val="20"/>
                <w:szCs w:val="20"/>
                <w:u w:val="single"/>
              </w:rPr>
              <w:t>Wymagane dokumenty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24073E">
              <w:rPr>
                <w:rFonts w:cstheme="minorHAnsi"/>
                <w:sz w:val="20"/>
                <w:szCs w:val="20"/>
                <w:u w:val="single"/>
              </w:rPr>
              <w:t>dotyczące blatu:</w:t>
            </w:r>
          </w:p>
          <w:p w:rsidR="00223C59" w:rsidRPr="00825838" w:rsidRDefault="00223C59" w:rsidP="00223C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69" w:hanging="142"/>
              <w:rPr>
                <w:rFonts w:eastAsia="Times New Roman" w:cstheme="minorHAnsi"/>
                <w:sz w:val="20"/>
                <w:szCs w:val="20"/>
              </w:rPr>
            </w:pPr>
            <w:r w:rsidRPr="0024073E">
              <w:rPr>
                <w:rFonts w:eastAsia="Times New Roman" w:cstheme="minorHAnsi"/>
                <w:sz w:val="20"/>
                <w:szCs w:val="20"/>
              </w:rPr>
              <w:t xml:space="preserve">Raport badań wydany przez </w:t>
            </w:r>
            <w:r w:rsidRPr="00825838">
              <w:rPr>
                <w:rFonts w:eastAsia="Times New Roman" w:cstheme="minorHAnsi"/>
                <w:sz w:val="20"/>
                <w:szCs w:val="20"/>
              </w:rPr>
              <w:t>akredytowane w tym zakresie laboratorium badawcze przeprowadzony zgodnie z normą EN ISO 10545–14:1999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lub równoważne</w:t>
            </w:r>
            <w:r w:rsidRPr="00825838">
              <w:rPr>
                <w:rFonts w:eastAsia="Times New Roman" w:cstheme="minorHAnsi"/>
                <w:sz w:val="20"/>
                <w:szCs w:val="20"/>
              </w:rPr>
              <w:t xml:space="preserve"> „Płytki i płyty ceramiczne -Oznaczanie odporności na plamienie.” Wynik materiału nie gorszy niż klasa odporności 5.</w:t>
            </w:r>
          </w:p>
          <w:p w:rsidR="00223C59" w:rsidRPr="00825838" w:rsidRDefault="00223C59" w:rsidP="00223C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69" w:hanging="142"/>
              <w:rPr>
                <w:rFonts w:eastAsia="Times New Roman" w:cstheme="minorHAnsi"/>
                <w:sz w:val="20"/>
                <w:szCs w:val="20"/>
              </w:rPr>
            </w:pPr>
            <w:r w:rsidRPr="00825838">
              <w:rPr>
                <w:rFonts w:eastAsia="Times New Roman" w:cstheme="minorHAnsi"/>
                <w:sz w:val="20"/>
                <w:szCs w:val="20"/>
              </w:rPr>
              <w:t>Raport badań wydany przez akredytowane w tym zakresie laboratorium badawcze przeprowadzony zgodnie z normą EN ISO 10545 – 9 :1998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lub równoważne</w:t>
            </w:r>
            <w:r w:rsidRPr="00825838">
              <w:rPr>
                <w:rFonts w:eastAsia="Times New Roman" w:cstheme="minorHAnsi"/>
                <w:sz w:val="20"/>
                <w:szCs w:val="20"/>
              </w:rPr>
              <w:t xml:space="preserve"> „Płytki i płyty ceramiczne - Oznaczanie odporności na szok termiczny”. Bez pęknięć w zakresie temperatur 15-145 </w:t>
            </w:r>
            <w:r w:rsidRPr="00825838">
              <w:rPr>
                <w:rFonts w:eastAsia="Times New Roman" w:cstheme="minorHAnsi"/>
                <w:sz w:val="20"/>
                <w:szCs w:val="20"/>
                <w:vertAlign w:val="superscript"/>
              </w:rPr>
              <w:t>0</w:t>
            </w:r>
            <w:r w:rsidRPr="00825838">
              <w:rPr>
                <w:rFonts w:eastAsia="Times New Roman" w:cstheme="minorHAnsi"/>
                <w:sz w:val="20"/>
                <w:szCs w:val="20"/>
              </w:rPr>
              <w:t>C.</w:t>
            </w:r>
          </w:p>
          <w:p w:rsidR="00223C59" w:rsidRPr="0024073E" w:rsidRDefault="00223C59" w:rsidP="00223C5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69" w:hanging="142"/>
              <w:rPr>
                <w:rFonts w:eastAsia="Times New Roman" w:cstheme="minorHAnsi"/>
                <w:sz w:val="20"/>
                <w:szCs w:val="20"/>
              </w:rPr>
            </w:pPr>
            <w:r w:rsidRPr="00825838">
              <w:rPr>
                <w:rFonts w:eastAsia="Times New Roman" w:cstheme="minorHAnsi"/>
                <w:sz w:val="20"/>
                <w:szCs w:val="20"/>
              </w:rPr>
              <w:t>Raport z badań wydany przez niezależne laboratorium</w:t>
            </w:r>
            <w:r w:rsidRPr="0024073E">
              <w:rPr>
                <w:rFonts w:eastAsia="Times New Roman" w:cstheme="minorHAnsi"/>
                <w:sz w:val="20"/>
                <w:szCs w:val="20"/>
              </w:rPr>
              <w:t>, potwierdzający odporność na min. 25 substancji chemicznych m.in.: eozyna min. 1%, czerwień kongo min. 1%, jodyna, fiolet gencjanowy min. 1%, kwas siarkowy min. 96%, kwas azotowy 70%, kwas chlorowodorowy 38%, kwas ortofosforowy min. 85%, wodorotlenek sodu min. 40%, chloroform, ksylen, formaldehyd min. 40%, aceton, azotan srebra min. 10%, fenol min. 85%, woda królewska, kwas nadchlorowy min. 60%, kwas bromowodorowy min. 48%,wodorotlenek amonu min. 25%, benzyna ekstrakcyjna, oleje mineralne, eter etylowy, nafta kosmetyczna , terpentyna.</w:t>
            </w:r>
          </w:p>
          <w:p w:rsidR="00223C59" w:rsidRDefault="00223C59" w:rsidP="00223C59">
            <w:pPr>
              <w:spacing w:after="0" w:line="240" w:lineRule="auto"/>
              <w:ind w:left="127"/>
              <w:rPr>
                <w:rFonts w:eastAsia="Times New Roman" w:cstheme="minorHAnsi"/>
                <w:sz w:val="20"/>
                <w:szCs w:val="20"/>
              </w:rPr>
            </w:pPr>
            <w:r w:rsidRPr="0024073E">
              <w:rPr>
                <w:rFonts w:eastAsia="Times New Roman" w:cstheme="minorHAnsi"/>
                <w:sz w:val="20"/>
                <w:szCs w:val="20"/>
              </w:rPr>
              <w:t xml:space="preserve">Do oferty należy dołączyć oryginał lub kopię powyższych dokumentów potwierdzonych za zgodność z </w:t>
            </w:r>
            <w:r>
              <w:rPr>
                <w:rFonts w:eastAsia="Times New Roman" w:cstheme="minorHAnsi"/>
                <w:sz w:val="20"/>
                <w:szCs w:val="20"/>
              </w:rPr>
              <w:t>o</w:t>
            </w:r>
            <w:r w:rsidRPr="0024073E">
              <w:rPr>
                <w:rFonts w:eastAsia="Times New Roman" w:cstheme="minorHAnsi"/>
                <w:sz w:val="20"/>
                <w:szCs w:val="20"/>
              </w:rPr>
              <w:t>ryginałem</w:t>
            </w:r>
          </w:p>
          <w:p w:rsidR="003B1115" w:rsidRDefault="003B1115" w:rsidP="003B1115">
            <w:pPr>
              <w:spacing w:after="0" w:line="240" w:lineRule="auto"/>
              <w:ind w:left="269"/>
              <w:rPr>
                <w:rFonts w:eastAsia="Times New Roman" w:cstheme="minorHAnsi"/>
                <w:sz w:val="20"/>
                <w:szCs w:val="20"/>
              </w:rPr>
            </w:pPr>
          </w:p>
          <w:p w:rsidR="003B1115" w:rsidRPr="006026A9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cstheme="minorHAnsi"/>
                <w:b/>
                <w:sz w:val="20"/>
                <w:szCs w:val="20"/>
              </w:rPr>
            </w:pPr>
            <w:r w:rsidRPr="006026A9">
              <w:rPr>
                <w:rFonts w:cstheme="minorHAnsi"/>
                <w:b/>
                <w:sz w:val="20"/>
                <w:szCs w:val="20"/>
              </w:rPr>
              <w:t>Media: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Instalacja wodno-kanalizacyjna: 2 ujęcia zimnej wody, 1 zlewik ceramiczny z prawej tylnej strony komory roboczej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Instalacja gazowa: 1 x wylewka i zawór na gaz palny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 xml:space="preserve">Instalacja elektryczna: </w:t>
            </w:r>
          </w:p>
          <w:p w:rsidR="003B1115" w:rsidRPr="00281ED3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281ED3">
              <w:rPr>
                <w:rFonts w:cstheme="minorHAnsi"/>
                <w:sz w:val="20"/>
                <w:szCs w:val="20"/>
              </w:rPr>
              <w:t xml:space="preserve">gniazda </w:t>
            </w:r>
            <w:r>
              <w:rPr>
                <w:rFonts w:cstheme="minorHAnsi"/>
                <w:sz w:val="20"/>
                <w:szCs w:val="20"/>
              </w:rPr>
              <w:t>elektryczne 230 V IP54</w:t>
            </w:r>
            <w:r w:rsidRPr="00281ED3">
              <w:rPr>
                <w:rFonts w:cstheme="minorHAnsi"/>
                <w:sz w:val="20"/>
                <w:szCs w:val="20"/>
              </w:rPr>
              <w:t xml:space="preserve"> poza komorą dygestorium - 3 szt.</w:t>
            </w:r>
          </w:p>
          <w:p w:rsidR="003B1115" w:rsidRPr="00281ED3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81ED3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1ED3">
              <w:rPr>
                <w:rFonts w:cstheme="minorHAnsi"/>
                <w:sz w:val="20"/>
                <w:szCs w:val="20"/>
              </w:rPr>
              <w:t>oświetlenie komory lampą roboczą z zabezpieczeniem przed oparami pochodzącymi z komory dygestorium, oświetlenie komory zapewniające jasność n</w:t>
            </w:r>
            <w:r>
              <w:rPr>
                <w:rFonts w:cstheme="minorHAnsi"/>
                <w:sz w:val="20"/>
                <w:szCs w:val="20"/>
              </w:rPr>
              <w:t xml:space="preserve">a powierzchni blatu nie </w:t>
            </w:r>
            <w:r w:rsidRPr="003464A7">
              <w:rPr>
                <w:rFonts w:cstheme="minorHAnsi"/>
                <w:sz w:val="20"/>
                <w:szCs w:val="20"/>
              </w:rPr>
              <w:t>mniejszą niż</w:t>
            </w:r>
            <w:r w:rsidRPr="00281ED3">
              <w:rPr>
                <w:rFonts w:cstheme="minorHAnsi"/>
                <w:sz w:val="20"/>
                <w:szCs w:val="20"/>
              </w:rPr>
              <w:t xml:space="preserve"> 500 Lux</w:t>
            </w:r>
          </w:p>
          <w:p w:rsidR="003B1115" w:rsidRDefault="003B1115" w:rsidP="003B111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Wyłącznik główny</w:t>
            </w:r>
          </w:p>
          <w:p w:rsidR="003B1115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B1115" w:rsidRPr="006026A9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cstheme="minorHAnsi"/>
                <w:b/>
                <w:sz w:val="20"/>
                <w:szCs w:val="20"/>
              </w:rPr>
            </w:pPr>
            <w:r w:rsidRPr="006026A9">
              <w:rPr>
                <w:rFonts w:cstheme="minorHAnsi"/>
                <w:b/>
                <w:sz w:val="20"/>
                <w:szCs w:val="20"/>
              </w:rPr>
              <w:t>Dane techniczne</w:t>
            </w:r>
            <w:r>
              <w:rPr>
                <w:rFonts w:cstheme="minorHAnsi"/>
                <w:b/>
                <w:sz w:val="20"/>
                <w:szCs w:val="20"/>
              </w:rPr>
              <w:t xml:space="preserve"> dygestorium</w:t>
            </w:r>
            <w:r w:rsidRPr="006026A9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Dygestorium składa się z części roboczej (zawierającej komorę roboczą z ścianami bocznymi i ścianą tylną) oraz podstawy.</w:t>
            </w:r>
          </w:p>
          <w:p w:rsidR="003B1115" w:rsidRPr="00914517" w:rsidRDefault="003B1115" w:rsidP="003B111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 xml:space="preserve">Stelaż nośny metalowy, wykonany z profili stalowych 50 x 30 mm, malowany </w:t>
            </w:r>
            <w:r w:rsidRPr="00914517">
              <w:rPr>
                <w:rFonts w:cstheme="minorHAnsi"/>
                <w:sz w:val="20"/>
                <w:szCs w:val="20"/>
              </w:rPr>
              <w:t>proszkowo farbami epoksydowymi.</w:t>
            </w:r>
          </w:p>
          <w:p w:rsidR="003B1115" w:rsidRPr="00914517" w:rsidRDefault="003B1115" w:rsidP="003B111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14517">
              <w:rPr>
                <w:rFonts w:cstheme="minorHAnsi"/>
                <w:sz w:val="20"/>
                <w:szCs w:val="20"/>
              </w:rPr>
              <w:t>Modułowe korytko instalacyjne wykonane z aluminium, malowane proszkowo farbami epoksydowymi wyposażone w 3 gniazda 230 V. Koryta elektryczne posiadają raport z badań wydany przez niezależne, akredytowane w tym zakresie laboratorium na zgodność z normą PN-EN 61010-1:2011</w:t>
            </w:r>
            <w:r w:rsidR="00223C59">
              <w:rPr>
                <w:rFonts w:cstheme="minorHAnsi"/>
                <w:sz w:val="20"/>
                <w:szCs w:val="20"/>
              </w:rPr>
              <w:t xml:space="preserve"> lub równoważne</w:t>
            </w:r>
            <w:r w:rsidRPr="00914517">
              <w:rPr>
                <w:rFonts w:cstheme="minorHAnsi"/>
                <w:sz w:val="20"/>
                <w:szCs w:val="20"/>
              </w:rPr>
              <w:t xml:space="preserve">, co najmniej z punktem 6, 7 i 11, dla koryt elektrycznych, laboratoryjnych , potwierdzający bezpieczeństwo użytkowania. </w:t>
            </w:r>
          </w:p>
          <w:p w:rsidR="00914517" w:rsidRPr="00914517" w:rsidRDefault="00914517" w:rsidP="00914517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cstheme="minorHAnsi"/>
                <w:sz w:val="20"/>
                <w:szCs w:val="20"/>
              </w:rPr>
            </w:pPr>
            <w:r w:rsidRPr="00914517">
              <w:rPr>
                <w:rFonts w:cstheme="minorHAnsi"/>
                <w:sz w:val="20"/>
                <w:szCs w:val="20"/>
              </w:rPr>
              <w:t>Do oferty należy dołączyć oryginał lub kopię dokumentów potwierdzonych za zgodność z oryginałem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Obudowa - blendy boczne i blenda górna wykonane z profilowanych blach, malowanych proszkowo chemoodporną farbą epoksydową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System przewietrzania komory wewnętrznej realizowany za pomocą przegrody wewnętrznej tzw. podwójnej tylnej ściany zapewniającej efektywne odciąganie powietrza zarówno z górnych jak i z dolnych części komory. Konstrukcja przegrody zapewnia utrzymanie komory w czystości.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Ściana przednia z blachy , malowanej proszkowo farbą epoksydową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Komora dygestorium wykonana z żywicy fenolowej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Okno jednoczęściowe, wykonane ze szkła bezpiecznego w ramie aluminiowej wykonanej z zamkniętych profili malowanych proszkowo farbami epoksydowymi. Szyba wykonana ze szkła bezpiecznego, (wielowarstwowego laminowanego typu VSG: szkło-folia-szkło) o grubości 4,5mm. Wszystkie krawędzie szyb fazowane. Szyba osadzona na uszczelkach chemoodpornych w kolorze dopasowanym do koloru ramy okna.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Uchwyt okna na całej długości okna, ułatwiający przepływ powietrza do komory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Blokada okna uniemożliwiającą otwarcie okna do wysokości powyżej 500 mm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Pod blatem szafka laminowana potrójna, z jedną półką każda, wentylowana w trakcie pracy dygestorium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 xml:space="preserve">Elektroniczny system przeznaczony do ciągłej kontroli przepływu powietrza (alarm akustyczny i optyczny) wykonany zgodnie z normą EN 14175 wraz z sygnalizacją bezpiecznej wysokości pracy okna, wbudowany w ściankę czołową bocznej ściany wyciągu. Możliwość wyłączania i resetu alarmów. 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Klapa bezpieczeństwa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System "AFP" zabezpieczający przed niekontrolowanym spadkiem okna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>Króciec przyłączeniowy do wentylacji o średnicy 200 mm</w:t>
            </w:r>
          </w:p>
          <w:p w:rsidR="003B1115" w:rsidRPr="0024073E" w:rsidRDefault="003B1115" w:rsidP="003B1115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24073E">
              <w:rPr>
                <w:rFonts w:cstheme="minorHAnsi"/>
                <w:sz w:val="20"/>
                <w:szCs w:val="20"/>
              </w:rPr>
              <w:t xml:space="preserve">Dygestorium posiada certyfikat zgodności z normą: PN-EN </w:t>
            </w:r>
            <w:r w:rsidRPr="0024073E">
              <w:rPr>
                <w:rFonts w:cstheme="minorHAnsi"/>
                <w:sz w:val="20"/>
                <w:szCs w:val="20"/>
              </w:rPr>
              <w:lastRenderedPageBreak/>
              <w:t>14175 – 1,2.3</w:t>
            </w:r>
            <w:r w:rsidR="00223C59">
              <w:rPr>
                <w:rFonts w:cstheme="minorHAnsi"/>
                <w:sz w:val="20"/>
                <w:szCs w:val="20"/>
              </w:rPr>
              <w:t xml:space="preserve"> lub równoważne</w:t>
            </w:r>
            <w:r w:rsidRPr="0024073E">
              <w:rPr>
                <w:rFonts w:cstheme="minorHAnsi"/>
                <w:sz w:val="20"/>
                <w:szCs w:val="20"/>
              </w:rPr>
              <w:t xml:space="preserve"> wydany </w:t>
            </w:r>
            <w:r w:rsidRPr="00914517">
              <w:rPr>
                <w:rFonts w:cstheme="minorHAnsi"/>
                <w:sz w:val="20"/>
                <w:szCs w:val="20"/>
              </w:rPr>
              <w:t>przez niezależne akredytowane w tym zakresie laboratorium badawcze. Certyfikat i raport z badań, stanowiący załącznik do certyfikatu, wydany przez akredytowane laboratorium badawcze</w:t>
            </w:r>
            <w:r w:rsidRPr="0024073E">
              <w:rPr>
                <w:rFonts w:cstheme="minorHAnsi"/>
                <w:sz w:val="20"/>
                <w:szCs w:val="20"/>
              </w:rPr>
              <w:t xml:space="preserve"> potwierdza zgodnie z przeprowadzoną procedurą badawczą na podstawie pkt. 5.3 części 3 normy PN EN 14175</w:t>
            </w:r>
            <w:r w:rsidR="00223C59">
              <w:rPr>
                <w:rFonts w:cstheme="minorHAnsi"/>
                <w:sz w:val="20"/>
                <w:szCs w:val="20"/>
              </w:rPr>
              <w:t xml:space="preserve"> lub równoważne</w:t>
            </w:r>
            <w:r w:rsidRPr="0024073E">
              <w:rPr>
                <w:rFonts w:cstheme="minorHAnsi"/>
                <w:sz w:val="20"/>
                <w:szCs w:val="20"/>
              </w:rPr>
              <w:t>, uzyskanie wartości uśrednionej maksymalnej ilości gazów wskaźnikowych wydostających się poza komorę nie większej niż 0,65 ppm, przy przepływie powietrza przez komorę nie większym niż 750 m3/h dla dygestorium 1500.</w:t>
            </w:r>
          </w:p>
          <w:p w:rsidR="00F95E30" w:rsidRPr="00223C59" w:rsidRDefault="003B1115" w:rsidP="003B1115">
            <w:p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23C59">
              <w:rPr>
                <w:rFonts w:cstheme="minorHAnsi"/>
                <w:sz w:val="20"/>
                <w:szCs w:val="20"/>
              </w:rPr>
              <w:t>Do oferty należy dołączyć oryginał lub kopię dokumentów potwierdzonych za zgodność z oryginałem.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Pr="008778C7" w:rsidRDefault="003B1115" w:rsidP="003B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B1115" w:rsidRDefault="003B1115" w:rsidP="003B111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Pr="008778C7" w:rsidRDefault="00F95E30" w:rsidP="005A3A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3B111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15" w:rsidRPr="003B1115" w:rsidRDefault="003B1115" w:rsidP="003B111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1115">
              <w:rPr>
                <w:rFonts w:cstheme="minorHAnsi"/>
                <w:sz w:val="20"/>
                <w:szCs w:val="20"/>
              </w:rPr>
              <w:t>Dostawa, wniesienie, instalacja w tym podłączenie do istniejącej w budynku instalacji wentylacyjnej, wodno-kanalizacyjnej, elektrycznej, gazowej oraz szkolenie w zakresie użytkowania i konserwacji</w:t>
            </w:r>
          </w:p>
          <w:p w:rsidR="00F95E30" w:rsidRPr="008778C7" w:rsidRDefault="00F95E30" w:rsidP="00E6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3B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66959" w:rsidRDefault="003B1115" w:rsidP="00E66959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>Do oferty dołączam wymagane certyfikaty/zaświadczen</w:t>
      </w:r>
      <w:r w:rsidR="000D1B6D">
        <w:rPr>
          <w:rFonts w:eastAsia="Batang" w:cstheme="minorHAnsi"/>
          <w:sz w:val="20"/>
          <w:szCs w:val="20"/>
          <w:u w:val="single"/>
        </w:rPr>
        <w:t>ia dot. przedmiotu zamówienia (p</w:t>
      </w:r>
      <w:r>
        <w:rPr>
          <w:rFonts w:eastAsia="Batang" w:cstheme="minorHAnsi"/>
          <w:sz w:val="20"/>
          <w:szCs w:val="20"/>
          <w:u w:val="single"/>
        </w:rPr>
        <w:t>kt. I</w:t>
      </w:r>
      <w:r w:rsidR="000D1B6D">
        <w:rPr>
          <w:rFonts w:eastAsia="Batang" w:cstheme="minorHAnsi"/>
          <w:sz w:val="20"/>
          <w:szCs w:val="20"/>
          <w:u w:val="single"/>
        </w:rPr>
        <w:t xml:space="preserve"> Zapytania Ofertowego</w:t>
      </w:r>
      <w:r>
        <w:rPr>
          <w:rFonts w:eastAsia="Batang" w:cstheme="minorHAnsi"/>
          <w:sz w:val="20"/>
          <w:szCs w:val="20"/>
          <w:u w:val="single"/>
        </w:rPr>
        <w:t>).</w:t>
      </w:r>
    </w:p>
    <w:p w:rsidR="00E66959" w:rsidRPr="008778C7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3B1115">
        <w:rPr>
          <w:rFonts w:ascii="Calibri" w:hAnsi="Calibri" w:cstheme="minorHAnsi"/>
          <w:color w:val="000000"/>
          <w:sz w:val="20"/>
          <w:szCs w:val="20"/>
        </w:rPr>
        <w:t>8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3B1115">
        <w:rPr>
          <w:rFonts w:ascii="Calibri" w:hAnsi="Calibri"/>
          <w:sz w:val="20"/>
          <w:szCs w:val="20"/>
        </w:rPr>
        <w:t>36</w:t>
      </w:r>
      <w:r w:rsidR="00E66959">
        <w:rPr>
          <w:rFonts w:ascii="Calibri" w:hAnsi="Calibri"/>
          <w:sz w:val="20"/>
          <w:szCs w:val="20"/>
        </w:rPr>
        <w:t xml:space="preserve"> miesięcy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hyperlink r:id="rId9" w:history="1">
        <w:r w:rsidR="002764DC" w:rsidRPr="00127695">
          <w:rPr>
            <w:rStyle w:val="Hipercze"/>
            <w:rFonts w:ascii="Calibri" w:hAnsi="Calibri" w:cstheme="minorHAnsi"/>
            <w:lang w:val="it-IT"/>
          </w:rPr>
          <w:t>k.kwiatkowska@nencki.edu.pl</w:t>
        </w:r>
      </w:hyperlink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="002764DC">
        <w:rPr>
          <w:rFonts w:ascii="Calibri" w:hAnsi="Calibri" w:cstheme="minorHAnsi"/>
          <w:color w:val="365F91"/>
          <w:lang w:val="it-IT"/>
        </w:rPr>
        <w:t xml:space="preserve"> tel. 22 589 24 63,</w:t>
      </w:r>
      <w:bookmarkStart w:id="0" w:name="_GoBack"/>
      <w:bookmarkEnd w:id="0"/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10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A6" w:rsidRDefault="00F20CA6" w:rsidP="002E6700">
      <w:pPr>
        <w:spacing w:after="0" w:line="240" w:lineRule="auto"/>
      </w:pPr>
      <w:r>
        <w:separator/>
      </w:r>
    </w:p>
  </w:endnote>
  <w:endnote w:type="continuationSeparator" w:id="0">
    <w:p w:rsidR="00F20CA6" w:rsidRDefault="00F20CA6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A6" w:rsidRDefault="00F20CA6" w:rsidP="002E6700">
      <w:pPr>
        <w:spacing w:after="0" w:line="240" w:lineRule="auto"/>
      </w:pPr>
      <w:r>
        <w:separator/>
      </w:r>
    </w:p>
  </w:footnote>
  <w:footnote w:type="continuationSeparator" w:id="0">
    <w:p w:rsidR="00F20CA6" w:rsidRDefault="00F20CA6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87957"/>
    <w:multiLevelType w:val="hybridMultilevel"/>
    <w:tmpl w:val="B5809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B4959"/>
    <w:multiLevelType w:val="hybridMultilevel"/>
    <w:tmpl w:val="5ED45B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EC4E0E"/>
    <w:multiLevelType w:val="hybridMultilevel"/>
    <w:tmpl w:val="7DD6FB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77670"/>
    <w:multiLevelType w:val="hybridMultilevel"/>
    <w:tmpl w:val="EED29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1DC2"/>
    <w:multiLevelType w:val="hybridMultilevel"/>
    <w:tmpl w:val="F282E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C02495"/>
    <w:multiLevelType w:val="hybridMultilevel"/>
    <w:tmpl w:val="3190C7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F3C07"/>
    <w:multiLevelType w:val="hybridMultilevel"/>
    <w:tmpl w:val="426CB1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D0361"/>
    <w:multiLevelType w:val="hybridMultilevel"/>
    <w:tmpl w:val="C1B6D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C13A0"/>
    <w:multiLevelType w:val="hybridMultilevel"/>
    <w:tmpl w:val="213C48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D3B28"/>
    <w:multiLevelType w:val="hybridMultilevel"/>
    <w:tmpl w:val="7AD4A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4"/>
  </w:num>
  <w:num w:numId="5">
    <w:abstractNumId w:val="12"/>
  </w:num>
  <w:num w:numId="6">
    <w:abstractNumId w:val="46"/>
  </w:num>
  <w:num w:numId="7">
    <w:abstractNumId w:val="2"/>
  </w:num>
  <w:num w:numId="8">
    <w:abstractNumId w:val="6"/>
  </w:num>
  <w:num w:numId="9">
    <w:abstractNumId w:val="43"/>
  </w:num>
  <w:num w:numId="10">
    <w:abstractNumId w:val="27"/>
  </w:num>
  <w:num w:numId="11">
    <w:abstractNumId w:val="24"/>
  </w:num>
  <w:num w:numId="12">
    <w:abstractNumId w:val="26"/>
  </w:num>
  <w:num w:numId="13">
    <w:abstractNumId w:val="28"/>
  </w:num>
  <w:num w:numId="14">
    <w:abstractNumId w:val="42"/>
  </w:num>
  <w:num w:numId="15">
    <w:abstractNumId w:val="40"/>
  </w:num>
  <w:num w:numId="16">
    <w:abstractNumId w:val="32"/>
  </w:num>
  <w:num w:numId="17">
    <w:abstractNumId w:val="15"/>
  </w:num>
  <w:num w:numId="18">
    <w:abstractNumId w:val="29"/>
  </w:num>
  <w:num w:numId="19">
    <w:abstractNumId w:val="9"/>
  </w:num>
  <w:num w:numId="20">
    <w:abstractNumId w:val="37"/>
  </w:num>
  <w:num w:numId="21">
    <w:abstractNumId w:val="16"/>
  </w:num>
  <w:num w:numId="22">
    <w:abstractNumId w:val="5"/>
  </w:num>
  <w:num w:numId="23">
    <w:abstractNumId w:val="44"/>
  </w:num>
  <w:num w:numId="24">
    <w:abstractNumId w:val="14"/>
  </w:num>
  <w:num w:numId="25">
    <w:abstractNumId w:val="19"/>
  </w:num>
  <w:num w:numId="26">
    <w:abstractNumId w:val="0"/>
  </w:num>
  <w:num w:numId="27">
    <w:abstractNumId w:val="20"/>
  </w:num>
  <w:num w:numId="28">
    <w:abstractNumId w:val="36"/>
  </w:num>
  <w:num w:numId="29">
    <w:abstractNumId w:val="18"/>
  </w:num>
  <w:num w:numId="30">
    <w:abstractNumId w:val="22"/>
  </w:num>
  <w:num w:numId="31">
    <w:abstractNumId w:val="10"/>
  </w:num>
  <w:num w:numId="32">
    <w:abstractNumId w:val="47"/>
  </w:num>
  <w:num w:numId="33">
    <w:abstractNumId w:val="38"/>
  </w:num>
  <w:num w:numId="34">
    <w:abstractNumId w:val="35"/>
  </w:num>
  <w:num w:numId="35">
    <w:abstractNumId w:val="4"/>
  </w:num>
  <w:num w:numId="36">
    <w:abstractNumId w:val="45"/>
  </w:num>
  <w:num w:numId="37">
    <w:abstractNumId w:val="48"/>
  </w:num>
  <w:num w:numId="38">
    <w:abstractNumId w:val="17"/>
  </w:num>
  <w:num w:numId="39">
    <w:abstractNumId w:val="11"/>
  </w:num>
  <w:num w:numId="40">
    <w:abstractNumId w:val="23"/>
  </w:num>
  <w:num w:numId="41">
    <w:abstractNumId w:val="30"/>
  </w:num>
  <w:num w:numId="42">
    <w:abstractNumId w:val="8"/>
  </w:num>
  <w:num w:numId="43">
    <w:abstractNumId w:val="13"/>
  </w:num>
  <w:num w:numId="44">
    <w:abstractNumId w:val="31"/>
  </w:num>
  <w:num w:numId="45">
    <w:abstractNumId w:val="33"/>
  </w:num>
  <w:num w:numId="46">
    <w:abstractNumId w:val="39"/>
  </w:num>
  <w:num w:numId="47">
    <w:abstractNumId w:val="21"/>
  </w:num>
  <w:num w:numId="48">
    <w:abstractNumId w:val="3"/>
  </w:num>
  <w:num w:numId="49">
    <w:abstractNumId w:val="4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D1B6D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1F5F33"/>
    <w:rsid w:val="00214F6C"/>
    <w:rsid w:val="00223C59"/>
    <w:rsid w:val="002329A0"/>
    <w:rsid w:val="00246077"/>
    <w:rsid w:val="00263169"/>
    <w:rsid w:val="002747A1"/>
    <w:rsid w:val="002764DC"/>
    <w:rsid w:val="00277B05"/>
    <w:rsid w:val="002A4B98"/>
    <w:rsid w:val="002B1283"/>
    <w:rsid w:val="002C76B9"/>
    <w:rsid w:val="002E6700"/>
    <w:rsid w:val="002F36F0"/>
    <w:rsid w:val="002F5B99"/>
    <w:rsid w:val="00303C8F"/>
    <w:rsid w:val="00355CBF"/>
    <w:rsid w:val="00357835"/>
    <w:rsid w:val="00357E00"/>
    <w:rsid w:val="003777D6"/>
    <w:rsid w:val="003B1115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47CF"/>
    <w:rsid w:val="0059300A"/>
    <w:rsid w:val="005A0D9F"/>
    <w:rsid w:val="005A3ACE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14517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66959"/>
    <w:rsid w:val="00E7013C"/>
    <w:rsid w:val="00E97AF2"/>
    <w:rsid w:val="00EC67DB"/>
    <w:rsid w:val="00F20CA6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.kwiatkowska@nencki.edu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7699-CF97-491B-967A-F01C4B8D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995</Words>
  <Characters>5975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43</cp:revision>
  <cp:lastPrinted>2019-09-18T14:25:00Z</cp:lastPrinted>
  <dcterms:created xsi:type="dcterms:W3CDTF">2020-09-22T10:29:00Z</dcterms:created>
  <dcterms:modified xsi:type="dcterms:W3CDTF">2021-05-17T06:26:00Z</dcterms:modified>
</cp:coreProperties>
</file>