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6C219B">
        <w:rPr>
          <w:rFonts w:ascii="Calibri" w:hAnsi="Calibri" w:cstheme="minorHAnsi"/>
          <w:b/>
          <w:sz w:val="20"/>
          <w:szCs w:val="20"/>
        </w:rPr>
        <w:t xml:space="preserve">System do dokumentacji żelów i </w:t>
      </w:r>
      <w:proofErr w:type="spellStart"/>
      <w:r w:rsidR="006C219B">
        <w:rPr>
          <w:rFonts w:ascii="Calibri" w:hAnsi="Calibri" w:cstheme="minorHAnsi"/>
          <w:b/>
          <w:sz w:val="20"/>
          <w:szCs w:val="20"/>
        </w:rPr>
        <w:t>blotów</w:t>
      </w:r>
      <w:proofErr w:type="spellEnd"/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C75FC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C75FC6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6C219B" w:rsidRPr="006C219B" w:rsidRDefault="006C219B" w:rsidP="006C21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C219B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Systemu do dokumentacji żeli i </w:t>
            </w:r>
            <w:proofErr w:type="spellStart"/>
            <w:r w:rsidRPr="006C219B">
              <w:rPr>
                <w:rFonts w:eastAsia="Times New Roman" w:cs="Calibri"/>
                <w:b/>
                <w:color w:val="000000"/>
                <w:sz w:val="20"/>
                <w:szCs w:val="20"/>
              </w:rPr>
              <w:t>blotów</w:t>
            </w:r>
            <w:proofErr w:type="spellEnd"/>
            <w:r w:rsidRPr="006C219B">
              <w:rPr>
                <w:rFonts w:eastAsia="Times New Roman" w:cs="Calibri"/>
                <w:color w:val="000000"/>
                <w:sz w:val="20"/>
                <w:szCs w:val="20"/>
              </w:rPr>
              <w:t xml:space="preserve"> (system do analiz molekularnych)  o następujących parametrach i funkcjach</w:t>
            </w:r>
            <w:r w:rsidRPr="006C219B">
              <w:rPr>
                <w:rFonts w:eastAsia="Times New Roman"/>
                <w:sz w:val="20"/>
                <w:szCs w:val="20"/>
              </w:rPr>
              <w:t>:</w:t>
            </w:r>
          </w:p>
          <w:p w:rsidR="006C219B" w:rsidRDefault="006C219B" w:rsidP="006C219B">
            <w:pPr>
              <w:pStyle w:val="Akapitzlist"/>
              <w:spacing w:after="0" w:line="240" w:lineRule="auto"/>
              <w:ind w:left="426"/>
              <w:rPr>
                <w:rFonts w:eastAsia="Times New Roman"/>
                <w:sz w:val="20"/>
                <w:szCs w:val="20"/>
              </w:rPr>
            </w:pP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Musi umożliwiać wizualizację, zapis i analizę próbek znakowanych fluorescencyjnie (Western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Blot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), kolorymetrycznie (SDS-PAGE/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zymografia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; wybarwiony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Coomassie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), chemiluminescencyjnie (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WesternBlot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)  oraz w technologii bez wybarwiania żeli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Musi posiadać zintegrowaną mini-ciemnię optyczną z wbudowaną prowadnicą służącą do mocowania dedykowanych do wybranej aplikacji tac z powierzchnią zdjęcia nie mniejszą niż 21 cm x 16 cm. Tace oraz aplikacje, do których są przeznaczone muszą być automatycznie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rozpoznawane przez urządzenie;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Automatycznie wysuwana prowadnica z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transiluminatorem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w celu umieszczenia żelu lub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blotu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. Możliwość zainstalowania opcjonalnej, kompatybilnej osłony przeciw UV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na prowadnicy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transiluminatora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Detekcja musi być dokonywana za pomocą kamery przetwornikiem CCD, o rozdzielczości nie mniejszej niż 6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Mpixeli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z kalibracją ostrości dla każdego ustawienia parametru zoomu lub wysokości próby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Zakres dynamiczny sygnału kamery musi być 16-bitowy ( 65 535 odcieni szarości) 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eastAsia="Times New Roman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Programowalne przez użytkownika tryby </w:t>
            </w:r>
            <w:r>
              <w:rPr>
                <w:rFonts w:cs="Arial"/>
                <w:color w:val="000000"/>
                <w:sz w:val="20"/>
                <w:szCs w:val="20"/>
              </w:rPr>
              <w:t>automatycznej akwizycji obrazów;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1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Tryb akwizycji z akumulacją obrazów pośrednich umożliwiający optymalny dobór czasu akwizycji dla chemiluminescencji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1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System musi być wyposażony tacę do aplikacji chemiluminescencji, UV oraz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stain-free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dedykowanej do barwników takich jak: chemiluminescencyjne,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Stain-free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EtBr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SYBR® Green, SYBR®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Safe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SYBR® Gold,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GelGreen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GelRed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Fluorescein,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OliGreen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Oriole™, SYPRO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Ruby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SYTO 60,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Coomassie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Blue,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Alexa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Fluors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(488, 546, 647, 680, 790),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DyLight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Fluors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(488, 550, 650, 680, 800), IR (680RD, 800CW),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StarBright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Blue 700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Muszą być dostępne i zainstalowane źródła światła: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UV przechodzące 302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>Światło białe – podświetlenie z góry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>Światło białe przechodzące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niebieskie przechodzące, wzbudzenie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wzakresie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 450-490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niebieskie – podświetlenie z góry 460−490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zielone – podświetlenie z góry 520−545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czerwone – podświetlenie z góry 625−650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koloru daleka czerwień – podświetlenie z góry 650−675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</w:p>
          <w:p w:rsidR="006C219B" w:rsidRPr="00904099" w:rsidRDefault="006C219B" w:rsidP="006C219B">
            <w:pPr>
              <w:numPr>
                <w:ilvl w:val="0"/>
                <w:numId w:val="12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Światło podczerwone – podświetlenie z góry 755−777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>,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Muszą być dostępne i zainstalowane filtry emisyjne:</w:t>
            </w:r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590/110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>Filtr chemiluminescencji</w:t>
            </w:r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518–546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577–613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675–725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904099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700–730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Default="006C219B" w:rsidP="006C219B">
            <w:pPr>
              <w:numPr>
                <w:ilvl w:val="0"/>
                <w:numId w:val="14"/>
              </w:numPr>
              <w:spacing w:after="0" w:line="240" w:lineRule="auto"/>
              <w:ind w:left="553" w:hanging="142"/>
              <w:rPr>
                <w:rFonts w:cs="Arial"/>
                <w:color w:val="000000"/>
                <w:sz w:val="20"/>
                <w:szCs w:val="20"/>
              </w:rPr>
            </w:pPr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813–860 </w:t>
            </w:r>
            <w:proofErr w:type="spellStart"/>
            <w:r w:rsidRPr="00904099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9040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Musi posiadać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>tacę konwersji światłą UV do światła białego dla aplikacji kolorymetrycznych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b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Wykonywanie zdjęć w świetle białym np. żeli poliakrylamidowych wybarwionych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Coomassie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musi być wykonywane w świetle przechodzącym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Musi być dostępna opcjonalnie w ofercie producenta taca do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konversji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światła UV do światła niebieskiego wzbudzenie w zakresie 450−490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nm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dla aplikacji jak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np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: barwienie SYBR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Musi być dostępny opcjonalnie w ofercie producenta statyw do tac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Zapis obrazów żeli i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blotów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białkowych i detekcja białka bez wybarwiania żeli oraz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blotów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Urządzenie musi posiadać funkcję korekcji niedoskonałości układu optycznego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Urządzenie musi posiadać elastyczny zakres składania pikseli (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tzw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binning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) dla co najmniej sześciu poziomów: 1x1, 2x2, 3x3, 4x4, 6x6, 8x8 w aplikacjach chemiluminescencyjnych, dalekiej czerwieni i bliski</w:t>
            </w:r>
            <w:r>
              <w:rPr>
                <w:rFonts w:cs="Arial"/>
                <w:color w:val="000000"/>
                <w:sz w:val="20"/>
                <w:szCs w:val="20"/>
              </w:rPr>
              <w:t>ej podczerwieni;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Panel przedni urządzenia musi być wyposażony w ekran dotykowy, o rozmiarze, co najmniej 12.1", służący do sterowania systemem z wbudowanym komputerem, zbierania oraz zarządzania zapisanymi, w formie obrazów, danymi. Pojemność dysku, co najmniej 70 GB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Urządzenie wyposażone, w co najmniej 2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porty USB;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Urządzenie do sterowania i zbierania danych nie wym</w:t>
            </w:r>
            <w:r>
              <w:rPr>
                <w:rFonts w:cs="Arial"/>
                <w:color w:val="000000"/>
                <w:sz w:val="20"/>
                <w:szCs w:val="20"/>
              </w:rPr>
              <w:t>aga podłączenia do komputera PC;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5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Przenoszenie danych za pomocą sieci lub przenośnej pamięci USB w formacie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tif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jpeg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73B0">
              <w:rPr>
                <w:rFonts w:cs="Arial"/>
                <w:color w:val="000000"/>
                <w:sz w:val="20"/>
                <w:szCs w:val="20"/>
              </w:rPr>
              <w:t>scn</w:t>
            </w:r>
            <w:proofErr w:type="spellEnd"/>
            <w:r w:rsidRPr="00E573B0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W skład systemu musi wchodzić oprogramowanie do analizy obrazu kompatybilne z Windows 7 i 10 dla PC.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>Dostarczone oprogramowanie musi posiadać tzw. licencję otwartą. Musi być zapewniona m</w:t>
            </w:r>
            <w:r>
              <w:rPr>
                <w:rFonts w:cs="Arial"/>
                <w:color w:val="000000"/>
                <w:sz w:val="20"/>
                <w:szCs w:val="20"/>
              </w:rPr>
              <w:t>ożliwość zainstalowania oprogra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>mowania na dowolnej liczbie komputerów (minimalnie 10) z zapewnieniem przez producenta możliwości jednoczesnego korzystania z oprogramowania dla tej samej ilości użytkowników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Oprogramowanie musi umożliwiać tworzenie krzywych kalibracyjnych i analizę ilościową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Oprogramowanie musi mieć możliwość „odwracania danych”, tzn. że można przekształcić obraz żelu (nie tylko podgląd) gdzie tło jest ciemne a prążki jasne na taki, w którym prążki są ciemne a tło jasne (negatyw). Tak zmieniony obraz może być ilościowo zanalizowany przez oprogramowanie, a zaznaczone prążki nie będą miały wyznaczonej int</w:t>
            </w:r>
            <w:r>
              <w:rPr>
                <w:rFonts w:cs="Arial"/>
                <w:color w:val="000000"/>
                <w:sz w:val="20"/>
                <w:szCs w:val="20"/>
              </w:rPr>
              <w:t>ensywności niższej niż tło żelu;</w:t>
            </w:r>
            <w:r w:rsidRPr="00E573B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6C219B" w:rsidRPr="00E573B0" w:rsidRDefault="006C219B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Oprogramowanie musi umożliwiać obróbkę obrazu (obracanie o dowolny kąt, negatyw, regulacja jasności i kontrastu pod kątem wybranego fragmentu lub całego żelu)</w:t>
            </w:r>
            <w:r>
              <w:rPr>
                <w:rFonts w:cs="Arial"/>
                <w:color w:val="000000"/>
                <w:sz w:val="20"/>
                <w:szCs w:val="20"/>
              </w:rPr>
              <w:t>;</w:t>
            </w:r>
          </w:p>
          <w:p w:rsidR="006C219B" w:rsidRPr="00E573B0" w:rsidRDefault="00702556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="Arial"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Fonts w:cs="Arial"/>
                <w:color w:val="000000"/>
                <w:sz w:val="20"/>
                <w:szCs w:val="20"/>
              </w:rPr>
              <w:t>Oprogramowanie</w:t>
            </w:r>
            <w:r w:rsidR="006C219B" w:rsidRPr="00E573B0">
              <w:rPr>
                <w:rFonts w:cs="Arial"/>
                <w:color w:val="000000"/>
                <w:sz w:val="20"/>
                <w:szCs w:val="20"/>
              </w:rPr>
              <w:t xml:space="preserve"> musi umożliwiać </w:t>
            </w:r>
            <w:bookmarkEnd w:id="0"/>
            <w:r w:rsidR="006C219B" w:rsidRPr="00E573B0">
              <w:rPr>
                <w:rFonts w:cs="Arial"/>
                <w:color w:val="000000"/>
                <w:sz w:val="20"/>
                <w:szCs w:val="20"/>
              </w:rPr>
              <w:t xml:space="preserve">automatyczne </w:t>
            </w:r>
            <w:r w:rsidR="006C219B">
              <w:rPr>
                <w:rFonts w:cs="Arial"/>
                <w:color w:val="000000"/>
                <w:sz w:val="20"/>
                <w:szCs w:val="20"/>
              </w:rPr>
              <w:t>rozpoznawanie ścieżek i prążków;</w:t>
            </w:r>
          </w:p>
          <w:p w:rsidR="00F33397" w:rsidRPr="007E4253" w:rsidRDefault="006C219B" w:rsidP="006C219B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sz w:val="20"/>
                <w:szCs w:val="20"/>
              </w:rPr>
            </w:pPr>
            <w:r w:rsidRPr="00E573B0">
              <w:rPr>
                <w:rFonts w:cs="Arial"/>
                <w:color w:val="000000"/>
                <w:sz w:val="20"/>
                <w:szCs w:val="20"/>
              </w:rPr>
              <w:t>Automatyczne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wyznaczanie mas cząsteczkowych.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C75FC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0DD" w:rsidRPr="008778C7" w:rsidTr="001A10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Pr="008778C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1A10DD" w:rsidRDefault="001A10DD" w:rsidP="001A10D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A10DD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8778C7" w:rsidRDefault="001A10DD" w:rsidP="001A10D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0DD" w:rsidRDefault="001A10DD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C75FC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75FC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C75FC6">
        <w:rPr>
          <w:rFonts w:ascii="Calibri" w:hAnsi="Calibri" w:cstheme="minorHAnsi"/>
          <w:color w:val="000000"/>
          <w:sz w:val="20"/>
          <w:szCs w:val="20"/>
        </w:rPr>
        <w:t>….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>…………</w:t>
      </w:r>
      <w:r w:rsidR="00C75FC6">
        <w:rPr>
          <w:rFonts w:ascii="Calibri" w:hAnsi="Calibri" w:cstheme="minorHAnsi"/>
          <w:color w:val="000000"/>
          <w:sz w:val="20"/>
          <w:szCs w:val="20"/>
        </w:rPr>
        <w:t xml:space="preserve"> PLN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75FC6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6C219B">
        <w:rPr>
          <w:rFonts w:ascii="Calibri" w:hAnsi="Calibri" w:cstheme="minorHAnsi"/>
          <w:color w:val="000000"/>
          <w:sz w:val="20"/>
          <w:szCs w:val="20"/>
        </w:rPr>
        <w:t>4</w:t>
      </w:r>
      <w:r w:rsidR="00675AD4">
        <w:rPr>
          <w:rFonts w:ascii="Calibri" w:hAnsi="Calibri" w:cstheme="minorHAnsi"/>
          <w:color w:val="000000"/>
          <w:sz w:val="20"/>
          <w:szCs w:val="20"/>
        </w:rPr>
        <w:t xml:space="preserve"> 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C75FC6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C75FC6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lastRenderedPageBreak/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C219B" w:rsidRDefault="006C219B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</w:t>
      </w:r>
      <w:bookmarkStart w:id="1" w:name="_GoBack"/>
      <w:bookmarkEnd w:id="1"/>
      <w:r w:rsidRPr="008778C7">
        <w:rPr>
          <w:rFonts w:ascii="Calibri" w:hAnsi="Calibri" w:cstheme="minorHAnsi"/>
          <w:color w:val="365F91"/>
        </w:rPr>
        <w:t>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6C219B">
        <w:rPr>
          <w:rFonts w:ascii="Calibri" w:hAnsi="Calibri" w:cstheme="minorHAnsi"/>
          <w:color w:val="365F91"/>
          <w:lang w:val="it-IT"/>
        </w:rPr>
        <w:t xml:space="preserve"> p.michaluk</w:t>
      </w:r>
      <w:r w:rsidR="003170D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75AD4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EC" w:rsidRDefault="004174EC" w:rsidP="002E6700">
      <w:pPr>
        <w:spacing w:after="0" w:line="240" w:lineRule="auto"/>
      </w:pPr>
      <w:r>
        <w:separator/>
      </w:r>
    </w:p>
  </w:endnote>
  <w:endnote w:type="continuationSeparator" w:id="0">
    <w:p w:rsidR="004174EC" w:rsidRDefault="004174EC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EC" w:rsidRDefault="004174EC" w:rsidP="002E6700">
      <w:pPr>
        <w:spacing w:after="0" w:line="240" w:lineRule="auto"/>
      </w:pPr>
      <w:r>
        <w:separator/>
      </w:r>
    </w:p>
  </w:footnote>
  <w:footnote w:type="continuationSeparator" w:id="0">
    <w:p w:rsidR="004174EC" w:rsidRDefault="004174EC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8D"/>
    <w:multiLevelType w:val="hybridMultilevel"/>
    <w:tmpl w:val="B156B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37E36"/>
    <w:multiLevelType w:val="hybridMultilevel"/>
    <w:tmpl w:val="6A825D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40955"/>
    <w:multiLevelType w:val="hybridMultilevel"/>
    <w:tmpl w:val="8118FD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78489F"/>
    <w:multiLevelType w:val="hybridMultilevel"/>
    <w:tmpl w:val="5C9C4B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EC7B8D"/>
    <w:multiLevelType w:val="hybridMultilevel"/>
    <w:tmpl w:val="6B0C15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B6FC0"/>
    <w:multiLevelType w:val="hybridMultilevel"/>
    <w:tmpl w:val="F57AC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35D8F"/>
    <w:multiLevelType w:val="hybridMultilevel"/>
    <w:tmpl w:val="07E09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14"/>
  </w:num>
  <w:num w:numId="11">
    <w:abstractNumId w:val="13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A10DD"/>
    <w:rsid w:val="001B693D"/>
    <w:rsid w:val="001C1619"/>
    <w:rsid w:val="001C407D"/>
    <w:rsid w:val="001C5725"/>
    <w:rsid w:val="001D5EBB"/>
    <w:rsid w:val="001E5D96"/>
    <w:rsid w:val="001F31A8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70BE"/>
    <w:rsid w:val="003E3BDE"/>
    <w:rsid w:val="003E535A"/>
    <w:rsid w:val="003F3EF2"/>
    <w:rsid w:val="004174EC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5AD4"/>
    <w:rsid w:val="00681D49"/>
    <w:rsid w:val="00693AB0"/>
    <w:rsid w:val="006A65BD"/>
    <w:rsid w:val="006C219B"/>
    <w:rsid w:val="006D1465"/>
    <w:rsid w:val="006D33C1"/>
    <w:rsid w:val="00702556"/>
    <w:rsid w:val="007047E4"/>
    <w:rsid w:val="00711C10"/>
    <w:rsid w:val="00734660"/>
    <w:rsid w:val="007536F8"/>
    <w:rsid w:val="007731D0"/>
    <w:rsid w:val="0078215D"/>
    <w:rsid w:val="00793C45"/>
    <w:rsid w:val="007E05B7"/>
    <w:rsid w:val="007E4253"/>
    <w:rsid w:val="007F0157"/>
    <w:rsid w:val="008778C7"/>
    <w:rsid w:val="0090037B"/>
    <w:rsid w:val="00900E09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AF78BC"/>
    <w:rsid w:val="00B6357F"/>
    <w:rsid w:val="00B837EF"/>
    <w:rsid w:val="00BF3C1C"/>
    <w:rsid w:val="00C13F7B"/>
    <w:rsid w:val="00C25A00"/>
    <w:rsid w:val="00C33819"/>
    <w:rsid w:val="00C37509"/>
    <w:rsid w:val="00C40735"/>
    <w:rsid w:val="00C75FC6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71FB7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6FBE-1564-4132-AA45-FF4E2C82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856</Words>
  <Characters>5137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57</cp:revision>
  <cp:lastPrinted>2019-09-18T14:25:00Z</cp:lastPrinted>
  <dcterms:created xsi:type="dcterms:W3CDTF">2020-09-22T10:29:00Z</dcterms:created>
  <dcterms:modified xsi:type="dcterms:W3CDTF">2021-10-08T06:43:00Z</dcterms:modified>
</cp:coreProperties>
</file>