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B80231">
        <w:rPr>
          <w:rFonts w:cstheme="minorHAnsi"/>
          <w:sz w:val="20"/>
          <w:szCs w:val="20"/>
        </w:rPr>
        <w:t>0</w:t>
      </w:r>
      <w:r w:rsidR="00305747">
        <w:rPr>
          <w:rFonts w:cstheme="minorHAnsi"/>
          <w:sz w:val="20"/>
          <w:szCs w:val="20"/>
        </w:rPr>
        <w:t>8</w:t>
      </w:r>
      <w:r w:rsidR="00161AF0">
        <w:rPr>
          <w:rFonts w:cstheme="minorHAnsi"/>
          <w:sz w:val="20"/>
          <w:szCs w:val="20"/>
        </w:rPr>
        <w:t>.</w:t>
      </w:r>
      <w:r w:rsidR="00305747">
        <w:rPr>
          <w:rFonts w:cstheme="minorHAnsi"/>
          <w:sz w:val="20"/>
          <w:szCs w:val="20"/>
        </w:rPr>
        <w:t>10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F6F78">
        <w:rPr>
          <w:rFonts w:cstheme="minorHAnsi"/>
          <w:b/>
          <w:bCs/>
          <w:caps/>
          <w:sz w:val="20"/>
          <w:szCs w:val="20"/>
        </w:rPr>
        <w:t>92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30574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Systemu do dokumentacji żeli i </w:t>
      </w:r>
      <w:proofErr w:type="spellStart"/>
      <w:r>
        <w:rPr>
          <w:rFonts w:cstheme="minorHAnsi"/>
          <w:b/>
          <w:sz w:val="20"/>
          <w:szCs w:val="20"/>
        </w:rPr>
        <w:t>blotów</w:t>
      </w:r>
      <w:proofErr w:type="spellEnd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04099">
        <w:rPr>
          <w:rFonts w:cstheme="minorHAnsi"/>
          <w:sz w:val="20"/>
          <w:szCs w:val="20"/>
        </w:rPr>
        <w:t>Piotr Michaluk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04099">
        <w:rPr>
          <w:rFonts w:cstheme="minorHAnsi"/>
          <w:sz w:val="20"/>
          <w:szCs w:val="20"/>
          <w:lang w:val="en-US"/>
        </w:rPr>
        <w:t>p.michaluk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305747">
        <w:rPr>
          <w:rFonts w:cstheme="minorHAnsi"/>
          <w:b/>
          <w:bCs/>
          <w:sz w:val="20"/>
          <w:szCs w:val="20"/>
        </w:rPr>
        <w:t>18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305747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  <w:bookmarkStart w:id="0" w:name="_GoBack"/>
      <w:bookmarkEnd w:id="0"/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B80231" w:rsidRDefault="00B8023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D2117" w:rsidRDefault="00305747" w:rsidP="00904099">
      <w:pPr>
        <w:pStyle w:val="Akapitzlist"/>
        <w:numPr>
          <w:ilvl w:val="0"/>
          <w:numId w:val="30"/>
        </w:numPr>
        <w:spacing w:after="0" w:line="240" w:lineRule="auto"/>
        <w:ind w:left="426" w:hanging="284"/>
        <w:rPr>
          <w:rFonts w:eastAsia="Times New Roman"/>
          <w:sz w:val="20"/>
          <w:szCs w:val="20"/>
        </w:rPr>
      </w:pPr>
      <w:r w:rsidRPr="00904099">
        <w:rPr>
          <w:rFonts w:eastAsia="Times New Roman" w:cs="Calibri"/>
          <w:b/>
          <w:color w:val="000000"/>
          <w:sz w:val="20"/>
          <w:szCs w:val="20"/>
        </w:rPr>
        <w:t xml:space="preserve">Systemu do dokumentacji żeli i </w:t>
      </w:r>
      <w:proofErr w:type="spellStart"/>
      <w:r w:rsidRPr="00904099">
        <w:rPr>
          <w:rFonts w:eastAsia="Times New Roman" w:cs="Calibri"/>
          <w:b/>
          <w:color w:val="000000"/>
          <w:sz w:val="20"/>
          <w:szCs w:val="20"/>
        </w:rPr>
        <w:t>blotów</w:t>
      </w:r>
      <w:proofErr w:type="spellEnd"/>
      <w:r>
        <w:rPr>
          <w:rFonts w:eastAsia="Times New Roman" w:cs="Calibri"/>
          <w:color w:val="000000"/>
          <w:sz w:val="20"/>
          <w:szCs w:val="20"/>
        </w:rPr>
        <w:t xml:space="preserve"> (system do analiz molekularnych) </w:t>
      </w:r>
      <w:r w:rsidR="00904099">
        <w:rPr>
          <w:rFonts w:eastAsia="Times New Roman" w:cs="Calibri"/>
          <w:color w:val="000000"/>
          <w:sz w:val="20"/>
          <w:szCs w:val="20"/>
        </w:rPr>
        <w:t xml:space="preserve"> o następujących parametrach </w:t>
      </w:r>
      <w:r w:rsidR="00904099">
        <w:rPr>
          <w:rFonts w:eastAsia="Times New Roman" w:cs="Calibri"/>
          <w:color w:val="000000"/>
          <w:sz w:val="20"/>
          <w:szCs w:val="20"/>
        </w:rPr>
        <w:br/>
      </w:r>
      <w:r w:rsidR="008E4783">
        <w:rPr>
          <w:rFonts w:eastAsia="Times New Roman" w:cs="Calibri"/>
          <w:color w:val="000000"/>
          <w:sz w:val="20"/>
          <w:szCs w:val="20"/>
        </w:rPr>
        <w:t>i fun</w:t>
      </w:r>
      <w:r w:rsidR="008D2117" w:rsidRPr="008D2117">
        <w:rPr>
          <w:rFonts w:eastAsia="Times New Roman" w:cs="Calibri"/>
          <w:color w:val="000000"/>
          <w:sz w:val="20"/>
          <w:szCs w:val="20"/>
        </w:rPr>
        <w:t>kcj</w:t>
      </w:r>
      <w:r w:rsidR="00904099">
        <w:rPr>
          <w:rFonts w:eastAsia="Times New Roman" w:cs="Calibri"/>
          <w:color w:val="000000"/>
          <w:sz w:val="20"/>
          <w:szCs w:val="20"/>
        </w:rPr>
        <w:t>ach</w:t>
      </w:r>
      <w:r w:rsidR="008D2117" w:rsidRPr="008D2117">
        <w:rPr>
          <w:rFonts w:eastAsia="Times New Roman"/>
          <w:sz w:val="20"/>
          <w:szCs w:val="20"/>
        </w:rPr>
        <w:t>:</w:t>
      </w:r>
    </w:p>
    <w:p w:rsidR="00E573B0" w:rsidRDefault="00E573B0" w:rsidP="00E573B0">
      <w:pPr>
        <w:pStyle w:val="Akapitzlist"/>
        <w:spacing w:after="0" w:line="240" w:lineRule="auto"/>
        <w:ind w:left="426"/>
        <w:rPr>
          <w:rFonts w:eastAsia="Times New Roman"/>
          <w:sz w:val="20"/>
          <w:szCs w:val="20"/>
        </w:rPr>
      </w:pPr>
    </w:p>
    <w:p w:rsidR="00904099" w:rsidRPr="00E573B0" w:rsidRDefault="00904099" w:rsidP="0055735F">
      <w:pPr>
        <w:pStyle w:val="Akapitzlist"/>
        <w:numPr>
          <w:ilvl w:val="0"/>
          <w:numId w:val="41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Musi umożliwiać wizualizację, zapis i analizę próbek znakowanych fluorescencyjnie (Western </w:t>
      </w:r>
      <w:proofErr w:type="spellStart"/>
      <w:r w:rsidRPr="00E573B0">
        <w:rPr>
          <w:rFonts w:cs="Arial"/>
          <w:color w:val="000000"/>
          <w:sz w:val="20"/>
          <w:szCs w:val="20"/>
        </w:rPr>
        <w:t>Blot</w:t>
      </w:r>
      <w:proofErr w:type="spellEnd"/>
      <w:r w:rsidRPr="00E573B0">
        <w:rPr>
          <w:rFonts w:cs="Arial"/>
          <w:color w:val="000000"/>
          <w:sz w:val="20"/>
          <w:szCs w:val="20"/>
        </w:rPr>
        <w:t>), kolorymetrycznie (SDS-PAGE/</w:t>
      </w:r>
      <w:proofErr w:type="spellStart"/>
      <w:r w:rsidRPr="00E573B0">
        <w:rPr>
          <w:rFonts w:cs="Arial"/>
          <w:color w:val="000000"/>
          <w:sz w:val="20"/>
          <w:szCs w:val="20"/>
        </w:rPr>
        <w:t>zymografia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; wybarwiony </w:t>
      </w:r>
      <w:proofErr w:type="spellStart"/>
      <w:r w:rsidRPr="00E573B0">
        <w:rPr>
          <w:rFonts w:cs="Arial"/>
          <w:color w:val="000000"/>
          <w:sz w:val="20"/>
          <w:szCs w:val="20"/>
        </w:rPr>
        <w:t>Coomassie</w:t>
      </w:r>
      <w:proofErr w:type="spellEnd"/>
      <w:r w:rsidRPr="00E573B0">
        <w:rPr>
          <w:rFonts w:cs="Arial"/>
          <w:color w:val="000000"/>
          <w:sz w:val="20"/>
          <w:szCs w:val="20"/>
        </w:rPr>
        <w:t>), chemiluminescencyjnie (</w:t>
      </w:r>
      <w:proofErr w:type="spellStart"/>
      <w:r w:rsidRPr="00E573B0">
        <w:rPr>
          <w:rFonts w:cs="Arial"/>
          <w:color w:val="000000"/>
          <w:sz w:val="20"/>
          <w:szCs w:val="20"/>
        </w:rPr>
        <w:t>WesternBlot</w:t>
      </w:r>
      <w:proofErr w:type="spellEnd"/>
      <w:r w:rsidRPr="00E573B0">
        <w:rPr>
          <w:rFonts w:cs="Arial"/>
          <w:color w:val="000000"/>
          <w:sz w:val="20"/>
          <w:szCs w:val="20"/>
        </w:rPr>
        <w:t>)  oraz w technologii bez wybarwiania żeli</w:t>
      </w:r>
      <w:r w:rsidR="00D10251">
        <w:rPr>
          <w:rFonts w:cs="Arial"/>
          <w:color w:val="000000"/>
          <w:sz w:val="20"/>
          <w:szCs w:val="20"/>
        </w:rPr>
        <w:t>;</w:t>
      </w:r>
      <w:r w:rsidRPr="00E573B0">
        <w:rPr>
          <w:rFonts w:cs="Arial"/>
          <w:color w:val="000000"/>
          <w:sz w:val="20"/>
          <w:szCs w:val="20"/>
        </w:rPr>
        <w:t xml:space="preserve"> </w:t>
      </w:r>
    </w:p>
    <w:p w:rsidR="00904099" w:rsidRPr="00E573B0" w:rsidRDefault="00904099" w:rsidP="0055735F">
      <w:pPr>
        <w:pStyle w:val="Akapitzlist"/>
        <w:numPr>
          <w:ilvl w:val="0"/>
          <w:numId w:val="41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Musi posiadać zintegrowaną mini-ciemnię optyczną z wbudowaną prowadnicą służącą do mocowania dedykowanych do wybranej aplikacji tac z powierzchnią zdjęcia nie mniejszą niż 21 cm x 16 cm. Tace oraz aplikacje, do których są przeznaczone muszą być automatycznie</w:t>
      </w:r>
      <w:r w:rsidR="00D10251">
        <w:rPr>
          <w:rFonts w:cs="Arial"/>
          <w:color w:val="000000"/>
          <w:sz w:val="20"/>
          <w:szCs w:val="20"/>
        </w:rPr>
        <w:t xml:space="preserve"> rozpoznawane przez urządzenie;</w:t>
      </w:r>
    </w:p>
    <w:p w:rsidR="00904099" w:rsidRPr="00E573B0" w:rsidRDefault="00904099" w:rsidP="0055735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Automatycznie wysuwana prowadnica z </w:t>
      </w:r>
      <w:proofErr w:type="spellStart"/>
      <w:r w:rsidRPr="00E573B0">
        <w:rPr>
          <w:rFonts w:cs="Arial"/>
          <w:color w:val="000000"/>
          <w:sz w:val="20"/>
          <w:szCs w:val="20"/>
        </w:rPr>
        <w:t>transiluminatorem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w celu umieszczenia żelu lub </w:t>
      </w:r>
      <w:proofErr w:type="spellStart"/>
      <w:r w:rsidRPr="00E573B0">
        <w:rPr>
          <w:rFonts w:cs="Arial"/>
          <w:color w:val="000000"/>
          <w:sz w:val="20"/>
          <w:szCs w:val="20"/>
        </w:rPr>
        <w:t>blotu</w:t>
      </w:r>
      <w:proofErr w:type="spellEnd"/>
      <w:r w:rsidRPr="00E573B0">
        <w:rPr>
          <w:rFonts w:cs="Arial"/>
          <w:color w:val="000000"/>
          <w:sz w:val="20"/>
          <w:szCs w:val="20"/>
        </w:rPr>
        <w:t>. Możliwość zainstalowania opcjonalnej, kompatybilnej osłony przeciw UV</w:t>
      </w:r>
      <w:r w:rsidR="00D10251">
        <w:rPr>
          <w:rFonts w:cs="Arial"/>
          <w:color w:val="000000"/>
          <w:sz w:val="20"/>
          <w:szCs w:val="20"/>
        </w:rPr>
        <w:t xml:space="preserve"> na prowadnicy </w:t>
      </w:r>
      <w:proofErr w:type="spellStart"/>
      <w:r w:rsidR="00D10251">
        <w:rPr>
          <w:rFonts w:cs="Arial"/>
          <w:color w:val="000000"/>
          <w:sz w:val="20"/>
          <w:szCs w:val="20"/>
        </w:rPr>
        <w:t>transiluminatora</w:t>
      </w:r>
      <w:proofErr w:type="spellEnd"/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1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Detekcja musi być dokonywana za pomocą kamery przetwornikiem CCD, o rozdzielczości nie mniejszej niż 6 </w:t>
      </w:r>
      <w:proofErr w:type="spellStart"/>
      <w:r w:rsidRPr="00E573B0">
        <w:rPr>
          <w:rFonts w:cs="Arial"/>
          <w:color w:val="000000"/>
          <w:sz w:val="20"/>
          <w:szCs w:val="20"/>
        </w:rPr>
        <w:t>Mpixeli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z kalibracją ostrości dla każdego ustawienia parametru zoomu lub wysokości próby</w:t>
      </w:r>
      <w:r w:rsidR="00D10251">
        <w:rPr>
          <w:rFonts w:cs="Arial"/>
          <w:color w:val="000000"/>
          <w:sz w:val="20"/>
          <w:szCs w:val="20"/>
        </w:rPr>
        <w:t>;</w:t>
      </w:r>
      <w:r w:rsidRPr="00E573B0">
        <w:rPr>
          <w:rFonts w:cs="Arial"/>
          <w:color w:val="000000"/>
          <w:sz w:val="20"/>
          <w:szCs w:val="20"/>
        </w:rPr>
        <w:t xml:space="preserve"> </w:t>
      </w:r>
    </w:p>
    <w:p w:rsidR="00904099" w:rsidRPr="00E573B0" w:rsidRDefault="00904099" w:rsidP="0055735F">
      <w:pPr>
        <w:pStyle w:val="Akapitzlist"/>
        <w:numPr>
          <w:ilvl w:val="0"/>
          <w:numId w:val="41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Zakres dynamiczny sygnału kamery musi być 16-bitowy ( 65 535 odcieni szarości) 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Programowalne przez użytkownika tryby </w:t>
      </w:r>
      <w:r w:rsidR="00D10251">
        <w:rPr>
          <w:rFonts w:cs="Arial"/>
          <w:color w:val="000000"/>
          <w:sz w:val="20"/>
          <w:szCs w:val="20"/>
        </w:rPr>
        <w:t>automatycznej akwizycji obrazów;</w:t>
      </w:r>
    </w:p>
    <w:p w:rsidR="00904099" w:rsidRPr="00E573B0" w:rsidRDefault="00904099" w:rsidP="0055735F">
      <w:pPr>
        <w:pStyle w:val="Akapitzlist"/>
        <w:numPr>
          <w:ilvl w:val="0"/>
          <w:numId w:val="42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Tryb akwizycji z akumulacją obrazów pośrednich umożliwiający optymalny dobór czasu akwizycji dla chemiluminescencji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2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System musi być wyposażony tacę do aplikacji chemiluminescencji, UV oraz </w:t>
      </w:r>
      <w:proofErr w:type="spellStart"/>
      <w:r w:rsidRPr="00E573B0">
        <w:rPr>
          <w:rFonts w:cs="Arial"/>
          <w:color w:val="000000"/>
          <w:sz w:val="20"/>
          <w:szCs w:val="20"/>
        </w:rPr>
        <w:t>stain-free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dedykowanej do barwników takich jak: chemiluminescencyjne, </w:t>
      </w:r>
      <w:proofErr w:type="spellStart"/>
      <w:r w:rsidRPr="00E573B0">
        <w:rPr>
          <w:rFonts w:cs="Arial"/>
          <w:color w:val="000000"/>
          <w:sz w:val="20"/>
          <w:szCs w:val="20"/>
        </w:rPr>
        <w:t>Stain-free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E573B0">
        <w:rPr>
          <w:rFonts w:cs="Arial"/>
          <w:color w:val="000000"/>
          <w:sz w:val="20"/>
          <w:szCs w:val="20"/>
        </w:rPr>
        <w:t>EtBr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SYBR® Green, SYBR® </w:t>
      </w:r>
      <w:proofErr w:type="spellStart"/>
      <w:r w:rsidRPr="00E573B0">
        <w:rPr>
          <w:rFonts w:cs="Arial"/>
          <w:color w:val="000000"/>
          <w:sz w:val="20"/>
          <w:szCs w:val="20"/>
        </w:rPr>
        <w:t>Safe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SYBR® Gold, </w:t>
      </w:r>
      <w:proofErr w:type="spellStart"/>
      <w:r w:rsidRPr="00E573B0">
        <w:rPr>
          <w:rFonts w:cs="Arial"/>
          <w:color w:val="000000"/>
          <w:sz w:val="20"/>
          <w:szCs w:val="20"/>
        </w:rPr>
        <w:t>GelGreen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E573B0">
        <w:rPr>
          <w:rFonts w:cs="Arial"/>
          <w:color w:val="000000"/>
          <w:sz w:val="20"/>
          <w:szCs w:val="20"/>
        </w:rPr>
        <w:t>GelRed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Fluorescein, </w:t>
      </w:r>
      <w:proofErr w:type="spellStart"/>
      <w:r w:rsidRPr="00E573B0">
        <w:rPr>
          <w:rFonts w:cs="Arial"/>
          <w:color w:val="000000"/>
          <w:sz w:val="20"/>
          <w:szCs w:val="20"/>
        </w:rPr>
        <w:t>OliGreen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Oriole™, SYPRO </w:t>
      </w:r>
      <w:proofErr w:type="spellStart"/>
      <w:r w:rsidRPr="00E573B0">
        <w:rPr>
          <w:rFonts w:cs="Arial"/>
          <w:color w:val="000000"/>
          <w:sz w:val="20"/>
          <w:szCs w:val="20"/>
        </w:rPr>
        <w:t>Ruby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SYTO 60, </w:t>
      </w:r>
      <w:proofErr w:type="spellStart"/>
      <w:r w:rsidRPr="00E573B0">
        <w:rPr>
          <w:rFonts w:cs="Arial"/>
          <w:color w:val="000000"/>
          <w:sz w:val="20"/>
          <w:szCs w:val="20"/>
        </w:rPr>
        <w:t>Coomassie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Blue, </w:t>
      </w:r>
      <w:proofErr w:type="spellStart"/>
      <w:r w:rsidRPr="00E573B0">
        <w:rPr>
          <w:rFonts w:cs="Arial"/>
          <w:color w:val="000000"/>
          <w:sz w:val="20"/>
          <w:szCs w:val="20"/>
        </w:rPr>
        <w:t>Alexa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E573B0">
        <w:rPr>
          <w:rFonts w:cs="Arial"/>
          <w:color w:val="000000"/>
          <w:sz w:val="20"/>
          <w:szCs w:val="20"/>
        </w:rPr>
        <w:t>Fluors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(488, 546, 647, 680, 790), </w:t>
      </w:r>
      <w:proofErr w:type="spellStart"/>
      <w:r w:rsidRPr="00E573B0">
        <w:rPr>
          <w:rFonts w:cs="Arial"/>
          <w:color w:val="000000"/>
          <w:sz w:val="20"/>
          <w:szCs w:val="20"/>
        </w:rPr>
        <w:t>DyLight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E573B0">
        <w:rPr>
          <w:rFonts w:cs="Arial"/>
          <w:color w:val="000000"/>
          <w:sz w:val="20"/>
          <w:szCs w:val="20"/>
        </w:rPr>
        <w:t>Fluors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(488, 550, 650, 680, 800), IR (680RD, 800CW), </w:t>
      </w:r>
      <w:proofErr w:type="spellStart"/>
      <w:r w:rsidRPr="00E573B0">
        <w:rPr>
          <w:rFonts w:cs="Arial"/>
          <w:color w:val="000000"/>
          <w:sz w:val="20"/>
          <w:szCs w:val="20"/>
        </w:rPr>
        <w:t>StarBright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Blue 700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D10251">
      <w:pPr>
        <w:pStyle w:val="Akapitzlist"/>
        <w:numPr>
          <w:ilvl w:val="0"/>
          <w:numId w:val="42"/>
        </w:numPr>
        <w:spacing w:after="0" w:line="240" w:lineRule="auto"/>
        <w:ind w:left="714" w:hanging="357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Muszą być dostępne i zainstalowane źródła światła:</w:t>
      </w:r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Światło UV przechodzące 302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, </w:t>
      </w:r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>Światło białe – podświetlenie z góry</w:t>
      </w:r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>Światło białe przechodzące</w:t>
      </w:r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Światło niebieskie przechodzące, wzbudzenie </w:t>
      </w:r>
      <w:proofErr w:type="spellStart"/>
      <w:r w:rsidRPr="00904099">
        <w:rPr>
          <w:rFonts w:cs="Arial"/>
          <w:color w:val="000000"/>
          <w:sz w:val="20"/>
          <w:szCs w:val="20"/>
        </w:rPr>
        <w:t>wzakresie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 450-490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Światło niebieskie – podświetlenie z góry 460−490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Światło zielone – podświetlenie z góry 520−545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, </w:t>
      </w:r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Światło czerwone – podświetlenie z góry 625−650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, </w:t>
      </w:r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Światło koloru daleka czerwień – podświetlenie z góry 650−675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, </w:t>
      </w:r>
    </w:p>
    <w:p w:rsidR="00904099" w:rsidRPr="00904099" w:rsidRDefault="00904099" w:rsidP="00E573B0">
      <w:pPr>
        <w:numPr>
          <w:ilvl w:val="0"/>
          <w:numId w:val="43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Światło podczerwone – podświetlenie z góry 755−777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>,</w:t>
      </w:r>
    </w:p>
    <w:p w:rsidR="00305747" w:rsidRPr="00904099" w:rsidRDefault="00305747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904099" w:rsidRPr="00E573B0" w:rsidRDefault="00904099" w:rsidP="00D10251">
      <w:pPr>
        <w:pStyle w:val="Akapitzlist"/>
        <w:numPr>
          <w:ilvl w:val="0"/>
          <w:numId w:val="44"/>
        </w:numPr>
        <w:spacing w:after="0" w:line="240" w:lineRule="auto"/>
        <w:ind w:left="714" w:hanging="357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lastRenderedPageBreak/>
        <w:t>Muszą być dostępne i zainstalowane filtry emisyjne:</w:t>
      </w:r>
    </w:p>
    <w:p w:rsidR="00904099" w:rsidRPr="00904099" w:rsidRDefault="00904099" w:rsidP="00E573B0">
      <w:pPr>
        <w:numPr>
          <w:ilvl w:val="0"/>
          <w:numId w:val="45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590/110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 </w:t>
      </w:r>
    </w:p>
    <w:p w:rsidR="00904099" w:rsidRPr="00904099" w:rsidRDefault="00904099" w:rsidP="00E573B0">
      <w:pPr>
        <w:numPr>
          <w:ilvl w:val="0"/>
          <w:numId w:val="45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>Filtr chemiluminescencji</w:t>
      </w:r>
    </w:p>
    <w:p w:rsidR="00904099" w:rsidRPr="00904099" w:rsidRDefault="00904099" w:rsidP="00E573B0">
      <w:pPr>
        <w:numPr>
          <w:ilvl w:val="0"/>
          <w:numId w:val="45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518–546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</w:p>
    <w:p w:rsidR="00904099" w:rsidRPr="00904099" w:rsidRDefault="00904099" w:rsidP="00E573B0">
      <w:pPr>
        <w:numPr>
          <w:ilvl w:val="0"/>
          <w:numId w:val="45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577–613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</w:p>
    <w:p w:rsidR="00904099" w:rsidRPr="00904099" w:rsidRDefault="00904099" w:rsidP="00E573B0">
      <w:pPr>
        <w:numPr>
          <w:ilvl w:val="0"/>
          <w:numId w:val="45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675–725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 </w:t>
      </w:r>
    </w:p>
    <w:p w:rsidR="00904099" w:rsidRPr="00904099" w:rsidRDefault="00904099" w:rsidP="00E573B0">
      <w:pPr>
        <w:numPr>
          <w:ilvl w:val="0"/>
          <w:numId w:val="45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700–730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 </w:t>
      </w:r>
    </w:p>
    <w:p w:rsidR="00904099" w:rsidRDefault="00904099" w:rsidP="00E573B0">
      <w:pPr>
        <w:numPr>
          <w:ilvl w:val="0"/>
          <w:numId w:val="45"/>
        </w:numPr>
        <w:spacing w:after="0" w:line="240" w:lineRule="auto"/>
        <w:ind w:left="993" w:hanging="284"/>
        <w:rPr>
          <w:rFonts w:cs="Arial"/>
          <w:color w:val="000000"/>
          <w:sz w:val="20"/>
          <w:szCs w:val="20"/>
        </w:rPr>
      </w:pPr>
      <w:r w:rsidRPr="00904099">
        <w:rPr>
          <w:rFonts w:cs="Arial"/>
          <w:color w:val="000000"/>
          <w:sz w:val="20"/>
          <w:szCs w:val="20"/>
        </w:rPr>
        <w:t xml:space="preserve">813–860 </w:t>
      </w:r>
      <w:proofErr w:type="spellStart"/>
      <w:r w:rsidRPr="00904099">
        <w:rPr>
          <w:rFonts w:cs="Arial"/>
          <w:color w:val="000000"/>
          <w:sz w:val="20"/>
          <w:szCs w:val="20"/>
        </w:rPr>
        <w:t>nm</w:t>
      </w:r>
      <w:proofErr w:type="spellEnd"/>
      <w:r w:rsidRPr="00904099">
        <w:rPr>
          <w:rFonts w:cs="Arial"/>
          <w:color w:val="000000"/>
          <w:sz w:val="20"/>
          <w:szCs w:val="20"/>
        </w:rPr>
        <w:t xml:space="preserve"> </w:t>
      </w:r>
    </w:p>
    <w:p w:rsidR="00904099" w:rsidRPr="00E573B0" w:rsidRDefault="00904099" w:rsidP="0055735F">
      <w:pPr>
        <w:pStyle w:val="Akapitzlist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Musi posiadać </w:t>
      </w:r>
      <w:r w:rsidR="00D10251">
        <w:rPr>
          <w:rFonts w:cs="Arial"/>
          <w:color w:val="000000"/>
          <w:sz w:val="20"/>
          <w:szCs w:val="20"/>
        </w:rPr>
        <w:t xml:space="preserve"> </w:t>
      </w:r>
      <w:r w:rsidRPr="00E573B0">
        <w:rPr>
          <w:rFonts w:cs="Arial"/>
          <w:color w:val="000000"/>
          <w:sz w:val="20"/>
          <w:szCs w:val="20"/>
        </w:rPr>
        <w:t>tacę konwersji światłą UV do światła białego dla aplikacji kolorymetrycznych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Wykonywanie zdjęć w świetle białym np. żeli poliakrylamidowych wybarwionych </w:t>
      </w:r>
      <w:proofErr w:type="spellStart"/>
      <w:r w:rsidRPr="00E573B0">
        <w:rPr>
          <w:rFonts w:cs="Arial"/>
          <w:color w:val="000000"/>
          <w:sz w:val="20"/>
          <w:szCs w:val="20"/>
        </w:rPr>
        <w:t>Coomassie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musi być wykonywane w świetle przechodzącym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6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Musi być dostępna opcjonalnie w ofercie producenta taca do </w:t>
      </w:r>
      <w:proofErr w:type="spellStart"/>
      <w:r w:rsidRPr="00E573B0">
        <w:rPr>
          <w:rFonts w:cs="Arial"/>
          <w:color w:val="000000"/>
          <w:sz w:val="20"/>
          <w:szCs w:val="20"/>
        </w:rPr>
        <w:t>konversji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światła UV do światła niebieskiego wzbudzenie w zakresie 450−490 </w:t>
      </w:r>
      <w:proofErr w:type="spellStart"/>
      <w:r w:rsidRPr="00E573B0">
        <w:rPr>
          <w:rFonts w:cs="Arial"/>
          <w:color w:val="000000"/>
          <w:sz w:val="20"/>
          <w:szCs w:val="20"/>
        </w:rPr>
        <w:t>nm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dla aplikacji jak </w:t>
      </w:r>
      <w:proofErr w:type="spellStart"/>
      <w:r w:rsidRPr="00E573B0">
        <w:rPr>
          <w:rFonts w:cs="Arial"/>
          <w:color w:val="000000"/>
          <w:sz w:val="20"/>
          <w:szCs w:val="20"/>
        </w:rPr>
        <w:t>np</w:t>
      </w:r>
      <w:proofErr w:type="spellEnd"/>
      <w:r w:rsidRPr="00E573B0">
        <w:rPr>
          <w:rFonts w:cs="Arial"/>
          <w:color w:val="000000"/>
          <w:sz w:val="20"/>
          <w:szCs w:val="20"/>
        </w:rPr>
        <w:t>: barwienie SYBR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6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Musi być dostępny opcjonalnie w ofercie producenta statyw do tac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305747" w:rsidRPr="00E573B0" w:rsidRDefault="00904099" w:rsidP="0055735F">
      <w:pPr>
        <w:pStyle w:val="Akapitzlist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Zapis obrazów żeli i </w:t>
      </w:r>
      <w:proofErr w:type="spellStart"/>
      <w:r w:rsidRPr="00E573B0">
        <w:rPr>
          <w:rFonts w:cs="Arial"/>
          <w:color w:val="000000"/>
          <w:sz w:val="20"/>
          <w:szCs w:val="20"/>
        </w:rPr>
        <w:t>blotów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 białkowych i detekcja białka bez wybarwiania żeli oraz </w:t>
      </w:r>
      <w:proofErr w:type="spellStart"/>
      <w:r w:rsidRPr="00E573B0">
        <w:rPr>
          <w:rFonts w:cs="Arial"/>
          <w:color w:val="000000"/>
          <w:sz w:val="20"/>
          <w:szCs w:val="20"/>
        </w:rPr>
        <w:t>blotów</w:t>
      </w:r>
      <w:proofErr w:type="spellEnd"/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Urządzenie musi posiadać funkcję korekcji niedoskonałości układu optycznego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6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Urządzenie musi posiadać elastyczny zakres składania pikseli (</w:t>
      </w:r>
      <w:proofErr w:type="spellStart"/>
      <w:r w:rsidRPr="00E573B0">
        <w:rPr>
          <w:rFonts w:cs="Arial"/>
          <w:color w:val="000000"/>
          <w:sz w:val="20"/>
          <w:szCs w:val="20"/>
        </w:rPr>
        <w:t>tzw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: </w:t>
      </w:r>
      <w:proofErr w:type="spellStart"/>
      <w:r w:rsidRPr="00E573B0">
        <w:rPr>
          <w:rFonts w:cs="Arial"/>
          <w:color w:val="000000"/>
          <w:sz w:val="20"/>
          <w:szCs w:val="20"/>
        </w:rPr>
        <w:t>binning</w:t>
      </w:r>
      <w:proofErr w:type="spellEnd"/>
      <w:r w:rsidRPr="00E573B0">
        <w:rPr>
          <w:rFonts w:cs="Arial"/>
          <w:color w:val="000000"/>
          <w:sz w:val="20"/>
          <w:szCs w:val="20"/>
        </w:rPr>
        <w:t>) dla co najmniej sześciu poziomów: 1x1, 2x2, 3x3, 4x4, 6x6, 8x8 w aplikacjach chemiluminescencyjnych, dalekiej czerwieni i bliski</w:t>
      </w:r>
      <w:r w:rsidR="00D10251">
        <w:rPr>
          <w:rFonts w:cs="Arial"/>
          <w:color w:val="000000"/>
          <w:sz w:val="20"/>
          <w:szCs w:val="20"/>
        </w:rPr>
        <w:t>ej podczerwieni;</w:t>
      </w:r>
    </w:p>
    <w:p w:rsidR="00904099" w:rsidRPr="00E573B0" w:rsidRDefault="00904099" w:rsidP="0055735F">
      <w:pPr>
        <w:pStyle w:val="Akapitzlist"/>
        <w:numPr>
          <w:ilvl w:val="0"/>
          <w:numId w:val="46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Panel przedni urządzenia musi być wyposażony w ekran dotykowy, o rozmiarze, co najmniej 12.1", służący do sterowania systemem z wbudowanym komputerem, zbierania oraz zarządzania zapisanymi, w formie obrazów, danymi. Pojemność dysku, co najmniej 70 GB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6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Urządzenie wyposażone, w co najmniej 2</w:t>
      </w:r>
      <w:r w:rsidR="00D10251">
        <w:rPr>
          <w:rFonts w:cs="Arial"/>
          <w:color w:val="000000"/>
          <w:sz w:val="20"/>
          <w:szCs w:val="20"/>
        </w:rPr>
        <w:t xml:space="preserve"> porty USB;</w:t>
      </w:r>
    </w:p>
    <w:p w:rsidR="00904099" w:rsidRPr="00E573B0" w:rsidRDefault="00904099" w:rsidP="00E573B0">
      <w:pPr>
        <w:pStyle w:val="Akapitzlist"/>
        <w:numPr>
          <w:ilvl w:val="0"/>
          <w:numId w:val="46"/>
        </w:numPr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Urządzenie do sterowania i zbierania danych nie wym</w:t>
      </w:r>
      <w:r w:rsidR="00D10251">
        <w:rPr>
          <w:rFonts w:cs="Arial"/>
          <w:color w:val="000000"/>
          <w:sz w:val="20"/>
          <w:szCs w:val="20"/>
        </w:rPr>
        <w:t>aga podłączenia do komputera PC;</w:t>
      </w:r>
    </w:p>
    <w:p w:rsidR="00904099" w:rsidRPr="00E573B0" w:rsidRDefault="00904099" w:rsidP="00E573B0">
      <w:pPr>
        <w:pStyle w:val="Akapitzlist"/>
        <w:numPr>
          <w:ilvl w:val="0"/>
          <w:numId w:val="46"/>
        </w:numPr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 xml:space="preserve">Przenoszenie danych za pomocą sieci lub przenośnej pamięci USB w formacie </w:t>
      </w:r>
      <w:proofErr w:type="spellStart"/>
      <w:r w:rsidRPr="00E573B0">
        <w:rPr>
          <w:rFonts w:cs="Arial"/>
          <w:color w:val="000000"/>
          <w:sz w:val="20"/>
          <w:szCs w:val="20"/>
        </w:rPr>
        <w:t>tif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E573B0">
        <w:rPr>
          <w:rFonts w:cs="Arial"/>
          <w:color w:val="000000"/>
          <w:sz w:val="20"/>
          <w:szCs w:val="20"/>
        </w:rPr>
        <w:t>jpeg</w:t>
      </w:r>
      <w:proofErr w:type="spellEnd"/>
      <w:r w:rsidRPr="00E573B0">
        <w:rPr>
          <w:rFonts w:cs="Arial"/>
          <w:color w:val="000000"/>
          <w:sz w:val="20"/>
          <w:szCs w:val="20"/>
        </w:rPr>
        <w:t xml:space="preserve">, </w:t>
      </w:r>
      <w:proofErr w:type="spellStart"/>
      <w:r w:rsidRPr="00E573B0">
        <w:rPr>
          <w:rFonts w:cs="Arial"/>
          <w:color w:val="000000"/>
          <w:sz w:val="20"/>
          <w:szCs w:val="20"/>
        </w:rPr>
        <w:t>scn</w:t>
      </w:r>
      <w:proofErr w:type="spellEnd"/>
      <w:r w:rsidRPr="00E573B0">
        <w:rPr>
          <w:rFonts w:cs="Arial"/>
          <w:color w:val="000000"/>
          <w:sz w:val="20"/>
          <w:szCs w:val="20"/>
        </w:rPr>
        <w:t>.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7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W skład systemu musi wchodzić oprogramowanie do analizy obrazu kompatybilne z Windows 7 i 10 dla PC.</w:t>
      </w:r>
      <w:r w:rsidR="00D10251">
        <w:rPr>
          <w:rFonts w:cs="Arial"/>
          <w:color w:val="000000"/>
          <w:sz w:val="20"/>
          <w:szCs w:val="20"/>
        </w:rPr>
        <w:t xml:space="preserve"> </w:t>
      </w:r>
      <w:r w:rsidRPr="00E573B0">
        <w:rPr>
          <w:rFonts w:cs="Arial"/>
          <w:color w:val="000000"/>
          <w:sz w:val="20"/>
          <w:szCs w:val="20"/>
        </w:rPr>
        <w:t>Dostarczone oprogramowanie musi posiadać tzw. licencję otwartą. Musi być zapewniona m</w:t>
      </w:r>
      <w:r w:rsidR="00D10251">
        <w:rPr>
          <w:rFonts w:cs="Arial"/>
          <w:color w:val="000000"/>
          <w:sz w:val="20"/>
          <w:szCs w:val="20"/>
        </w:rPr>
        <w:t>ożliwość zainstalowania oprogra</w:t>
      </w:r>
      <w:r w:rsidRPr="00E573B0">
        <w:rPr>
          <w:rFonts w:cs="Arial"/>
          <w:color w:val="000000"/>
          <w:sz w:val="20"/>
          <w:szCs w:val="20"/>
        </w:rPr>
        <w:t>mowania na dowolnej liczbie komputerów (minimalnie 10) z zapewnieniem przez producenta możliwości jednoczesnego korzystania z oprogramowania dla tej samej ilości użytkowników</w:t>
      </w:r>
      <w:r w:rsidR="00D10251">
        <w:rPr>
          <w:rFonts w:cs="Arial"/>
          <w:color w:val="000000"/>
          <w:sz w:val="20"/>
          <w:szCs w:val="20"/>
        </w:rPr>
        <w:t>;</w:t>
      </w:r>
      <w:r w:rsidRPr="00E573B0">
        <w:rPr>
          <w:rFonts w:cs="Arial"/>
          <w:color w:val="000000"/>
          <w:sz w:val="20"/>
          <w:szCs w:val="20"/>
        </w:rPr>
        <w:t xml:space="preserve"> </w:t>
      </w:r>
    </w:p>
    <w:p w:rsidR="00904099" w:rsidRPr="00E573B0" w:rsidRDefault="00904099" w:rsidP="0055735F">
      <w:pPr>
        <w:pStyle w:val="Akapitzlist"/>
        <w:numPr>
          <w:ilvl w:val="0"/>
          <w:numId w:val="47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Oprogramowanie musi umożliwiać tworzenie krzywych kalibracyjnych i analizę ilościową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55735F">
      <w:pPr>
        <w:pStyle w:val="Akapitzlist"/>
        <w:numPr>
          <w:ilvl w:val="0"/>
          <w:numId w:val="47"/>
        </w:numPr>
        <w:jc w:val="both"/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Oprogramowanie musi mieć możliwość „odwracania danych”, tzn. że można przekształcić obraz żelu (nie tylko podgląd) gdzie tło jest ciemne a prążki jasne na taki, w którym prążki są ciemne a tło jasne (negatyw). Tak zmieniony obraz może być ilościowo zanalizowany przez oprogramowanie, a zaznaczone prążki nie będą miały wyznaczonej int</w:t>
      </w:r>
      <w:r w:rsidR="00D10251">
        <w:rPr>
          <w:rFonts w:cs="Arial"/>
          <w:color w:val="000000"/>
          <w:sz w:val="20"/>
          <w:szCs w:val="20"/>
        </w:rPr>
        <w:t>ensywności niższej niż tło żelu;</w:t>
      </w:r>
      <w:r w:rsidRPr="00E573B0">
        <w:rPr>
          <w:rFonts w:cs="Arial"/>
          <w:color w:val="000000"/>
          <w:sz w:val="20"/>
          <w:szCs w:val="20"/>
        </w:rPr>
        <w:t xml:space="preserve"> </w:t>
      </w:r>
    </w:p>
    <w:p w:rsidR="00904099" w:rsidRPr="00E573B0" w:rsidRDefault="00904099" w:rsidP="00E573B0">
      <w:pPr>
        <w:pStyle w:val="Akapitzlist"/>
        <w:numPr>
          <w:ilvl w:val="0"/>
          <w:numId w:val="47"/>
        </w:numPr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Oprogramowanie musi umożliwiać obróbkę obrazu (obracanie o dowolny kąt, negatyw, regulacja jasności i kontrastu pod kątem wybranego fragmentu lub całego żelu)</w:t>
      </w:r>
      <w:r w:rsidR="00D10251">
        <w:rPr>
          <w:rFonts w:cs="Arial"/>
          <w:color w:val="000000"/>
          <w:sz w:val="20"/>
          <w:szCs w:val="20"/>
        </w:rPr>
        <w:t>;</w:t>
      </w:r>
    </w:p>
    <w:p w:rsidR="00904099" w:rsidRPr="00E573B0" w:rsidRDefault="00904099" w:rsidP="00E573B0">
      <w:pPr>
        <w:pStyle w:val="Akapitzlist"/>
        <w:numPr>
          <w:ilvl w:val="0"/>
          <w:numId w:val="47"/>
        </w:numPr>
        <w:rPr>
          <w:rFonts w:cs="Arial"/>
          <w:color w:val="000000"/>
          <w:sz w:val="20"/>
          <w:szCs w:val="20"/>
        </w:rPr>
      </w:pPr>
      <w:bookmarkStart w:id="1" w:name="OLE_LINK1"/>
      <w:r w:rsidRPr="00E573B0">
        <w:rPr>
          <w:rFonts w:cs="Arial"/>
          <w:color w:val="000000"/>
          <w:sz w:val="20"/>
          <w:szCs w:val="20"/>
        </w:rPr>
        <w:t>O</w:t>
      </w:r>
      <w:r w:rsidR="00A62257">
        <w:rPr>
          <w:rFonts w:cs="Arial"/>
          <w:color w:val="000000"/>
          <w:sz w:val="20"/>
          <w:szCs w:val="20"/>
        </w:rPr>
        <w:t>programowanie</w:t>
      </w:r>
      <w:r w:rsidRPr="00E573B0">
        <w:rPr>
          <w:rFonts w:cs="Arial"/>
          <w:color w:val="000000"/>
          <w:sz w:val="20"/>
          <w:szCs w:val="20"/>
        </w:rPr>
        <w:t xml:space="preserve"> musi umożliwiać </w:t>
      </w:r>
      <w:bookmarkEnd w:id="1"/>
      <w:r w:rsidRPr="00E573B0">
        <w:rPr>
          <w:rFonts w:cs="Arial"/>
          <w:color w:val="000000"/>
          <w:sz w:val="20"/>
          <w:szCs w:val="20"/>
        </w:rPr>
        <w:t xml:space="preserve">automatyczne </w:t>
      </w:r>
      <w:r w:rsidR="00D10251">
        <w:rPr>
          <w:rFonts w:cs="Arial"/>
          <w:color w:val="000000"/>
          <w:sz w:val="20"/>
          <w:szCs w:val="20"/>
        </w:rPr>
        <w:t>rozpoznawanie ścieżek i prążków;</w:t>
      </w:r>
    </w:p>
    <w:p w:rsidR="00904099" w:rsidRPr="00E573B0" w:rsidRDefault="00904099" w:rsidP="00E573B0">
      <w:pPr>
        <w:pStyle w:val="Akapitzlist"/>
        <w:numPr>
          <w:ilvl w:val="0"/>
          <w:numId w:val="47"/>
        </w:numPr>
        <w:rPr>
          <w:rFonts w:cs="Arial"/>
          <w:color w:val="000000"/>
          <w:sz w:val="20"/>
          <w:szCs w:val="20"/>
        </w:rPr>
      </w:pPr>
      <w:r w:rsidRPr="00E573B0">
        <w:rPr>
          <w:rFonts w:cs="Arial"/>
          <w:color w:val="000000"/>
          <w:sz w:val="20"/>
          <w:szCs w:val="20"/>
        </w:rPr>
        <w:t>Automatyczne</w:t>
      </w:r>
      <w:r w:rsidR="00D10251">
        <w:rPr>
          <w:rFonts w:cs="Arial"/>
          <w:color w:val="000000"/>
          <w:sz w:val="20"/>
          <w:szCs w:val="20"/>
        </w:rPr>
        <w:t xml:space="preserve"> wyznaczanie mas cząsteczkowych.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Gwarancja: </w:t>
      </w:r>
      <w:r w:rsidR="00C275C2">
        <w:rPr>
          <w:rFonts w:cstheme="minorHAnsi"/>
          <w:sz w:val="20"/>
          <w:szCs w:val="20"/>
        </w:rPr>
        <w:t xml:space="preserve">min. </w:t>
      </w:r>
      <w:r w:rsidR="008E4783">
        <w:rPr>
          <w:rFonts w:cstheme="minorHAnsi"/>
          <w:sz w:val="20"/>
          <w:szCs w:val="20"/>
        </w:rPr>
        <w:t>24</w:t>
      </w:r>
      <w:r w:rsidRPr="00C275C2">
        <w:rPr>
          <w:rFonts w:cstheme="minorHAnsi"/>
          <w:sz w:val="20"/>
          <w:szCs w:val="20"/>
        </w:rPr>
        <w:t xml:space="preserve"> miesi</w:t>
      </w:r>
      <w:r w:rsidR="008E4783">
        <w:rPr>
          <w:rFonts w:cstheme="minorHAnsi"/>
          <w:sz w:val="20"/>
          <w:szCs w:val="20"/>
        </w:rPr>
        <w:t>ące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275C2">
        <w:rPr>
          <w:rFonts w:cstheme="minorHAnsi"/>
          <w:sz w:val="20"/>
          <w:szCs w:val="20"/>
        </w:rPr>
        <w:t xml:space="preserve">max. do </w:t>
      </w:r>
      <w:r w:rsidR="00904099">
        <w:rPr>
          <w:rFonts w:cstheme="minorHAnsi"/>
          <w:sz w:val="20"/>
          <w:szCs w:val="20"/>
        </w:rPr>
        <w:t>4</w:t>
      </w:r>
      <w:r w:rsidR="00562232">
        <w:rPr>
          <w:rFonts w:cstheme="minorHAnsi"/>
          <w:sz w:val="20"/>
          <w:szCs w:val="20"/>
        </w:rPr>
        <w:t xml:space="preserve"> tygodni </w:t>
      </w:r>
      <w:r w:rsidR="00C275C2">
        <w:rPr>
          <w:rFonts w:cstheme="minorHAnsi"/>
          <w:sz w:val="20"/>
          <w:szCs w:val="20"/>
        </w:rPr>
        <w:t>od dnia zawarcia umowy.</w:t>
      </w:r>
    </w:p>
    <w:p w:rsidR="00272CA1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>Dostawa, w</w:t>
      </w:r>
      <w:r w:rsidR="008E4783">
        <w:rPr>
          <w:rFonts w:cstheme="minorHAnsi"/>
          <w:b/>
          <w:sz w:val="20"/>
          <w:szCs w:val="20"/>
        </w:rPr>
        <w:t>niesienie, instalacja i szkolenie</w:t>
      </w:r>
    </w:p>
    <w:p w:rsidR="00DD70AF" w:rsidRDefault="00DD70AF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62232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</w:t>
      </w:r>
      <w:r w:rsidR="00A62257">
        <w:rPr>
          <w:rFonts w:ascii="Calibri" w:hAnsi="Calibri" w:cstheme="minorHAnsi"/>
          <w:sz w:val="20"/>
          <w:szCs w:val="20"/>
        </w:rPr>
        <w:t xml:space="preserve">przy spełnieniu </w:t>
      </w:r>
      <w:r w:rsidR="00562232">
        <w:rPr>
          <w:rFonts w:ascii="Calibri" w:hAnsi="Calibri" w:cstheme="minorHAnsi"/>
          <w:sz w:val="20"/>
          <w:szCs w:val="20"/>
        </w:rPr>
        <w:t>war</w:t>
      </w:r>
      <w:r w:rsidR="00534DA9">
        <w:rPr>
          <w:rFonts w:ascii="Calibri" w:hAnsi="Calibri" w:cstheme="minorHAnsi"/>
          <w:sz w:val="20"/>
          <w:szCs w:val="20"/>
        </w:rPr>
        <w:t xml:space="preserve">unków określonych </w:t>
      </w:r>
      <w:r w:rsidR="00A62257">
        <w:rPr>
          <w:rFonts w:ascii="Calibri" w:hAnsi="Calibri" w:cstheme="minorHAnsi"/>
          <w:sz w:val="20"/>
          <w:szCs w:val="20"/>
        </w:rPr>
        <w:br/>
      </w:r>
      <w:r w:rsidR="00534DA9">
        <w:rPr>
          <w:rFonts w:ascii="Calibri" w:hAnsi="Calibri" w:cstheme="minorHAnsi"/>
          <w:sz w:val="20"/>
          <w:szCs w:val="20"/>
        </w:rPr>
        <w:t>w Op</w:t>
      </w:r>
      <w:r w:rsidR="00904099">
        <w:rPr>
          <w:rFonts w:ascii="Calibri" w:hAnsi="Calibri" w:cstheme="minorHAnsi"/>
          <w:sz w:val="20"/>
          <w:szCs w:val="20"/>
        </w:rPr>
        <w:t xml:space="preserve">isie Przedmiotu Zamówienia (pkt. </w:t>
      </w:r>
      <w:r w:rsidR="00534DA9">
        <w:rPr>
          <w:rFonts w:ascii="Calibri" w:hAnsi="Calibri" w:cstheme="minorHAnsi"/>
          <w:sz w:val="20"/>
          <w:szCs w:val="20"/>
        </w:rPr>
        <w:t>I).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5C18B9">
        <w:rPr>
          <w:rFonts w:cstheme="minorHAnsi"/>
          <w:sz w:val="20"/>
          <w:szCs w:val="20"/>
        </w:rPr>
        <w:t>p.michaluk</w:t>
      </w:r>
      <w:r w:rsidR="00430CB6" w:rsidRPr="00430CB6">
        <w:rPr>
          <w:rFonts w:cstheme="minorHAnsi"/>
          <w:sz w:val="20"/>
          <w:szCs w:val="20"/>
        </w:rPr>
        <w:t>@nencki.edu.pl</w:t>
      </w:r>
      <w:r w:rsidR="00430CB6">
        <w:rPr>
          <w:rFonts w:cstheme="minorHAnsi"/>
          <w:sz w:val="20"/>
          <w:szCs w:val="20"/>
        </w:rPr>
        <w:t>.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5C18B9">
        <w:rPr>
          <w:rFonts w:cstheme="minorHAnsi"/>
          <w:b/>
          <w:color w:val="000000"/>
          <w:sz w:val="20"/>
          <w:szCs w:val="20"/>
        </w:rPr>
        <w:t xml:space="preserve">System do dokumentacji żelów i </w:t>
      </w:r>
      <w:proofErr w:type="spellStart"/>
      <w:r w:rsidR="005C18B9">
        <w:rPr>
          <w:rFonts w:cstheme="minorHAnsi"/>
          <w:b/>
          <w:color w:val="000000"/>
          <w:sz w:val="20"/>
          <w:szCs w:val="20"/>
        </w:rPr>
        <w:t>blotów</w:t>
      </w:r>
      <w:proofErr w:type="spellEnd"/>
      <w:r w:rsidR="005C18B9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5C18B9">
        <w:rPr>
          <w:rFonts w:cstheme="minorHAnsi"/>
          <w:sz w:val="20"/>
          <w:szCs w:val="20"/>
        </w:rPr>
        <w:t>4</w:t>
      </w:r>
      <w:r w:rsidR="00430CB6">
        <w:rPr>
          <w:rFonts w:cstheme="minorHAnsi"/>
          <w:sz w:val="20"/>
          <w:szCs w:val="20"/>
        </w:rPr>
        <w:t xml:space="preserve"> tygodni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D7C13" w:rsidRDefault="00D46521" w:rsidP="003769C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E4783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8E4783" w:rsidRDefault="008E4783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Pr="008E4783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8E4783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BA" w:rsidRDefault="00B36CBA" w:rsidP="0082419F">
      <w:pPr>
        <w:spacing w:after="0" w:line="240" w:lineRule="auto"/>
      </w:pPr>
      <w:r>
        <w:separator/>
      </w:r>
    </w:p>
  </w:endnote>
  <w:endnote w:type="continuationSeparator" w:id="0">
    <w:p w:rsidR="00B36CBA" w:rsidRDefault="00B36CBA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BA" w:rsidRDefault="00B36CBA" w:rsidP="0082419F">
      <w:pPr>
        <w:spacing w:after="0" w:line="240" w:lineRule="auto"/>
      </w:pPr>
      <w:r>
        <w:separator/>
      </w:r>
    </w:p>
  </w:footnote>
  <w:footnote w:type="continuationSeparator" w:id="0">
    <w:p w:rsidR="00B36CBA" w:rsidRDefault="00B36CBA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2D00F8D"/>
    <w:multiLevelType w:val="hybridMultilevel"/>
    <w:tmpl w:val="B156B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E5F92"/>
    <w:multiLevelType w:val="hybridMultilevel"/>
    <w:tmpl w:val="6FCEA2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F6011"/>
    <w:multiLevelType w:val="multilevel"/>
    <w:tmpl w:val="4876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C055B0"/>
    <w:multiLevelType w:val="hybridMultilevel"/>
    <w:tmpl w:val="FE906C90"/>
    <w:lvl w:ilvl="0" w:tplc="E5688822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D5A0D"/>
    <w:multiLevelType w:val="multilevel"/>
    <w:tmpl w:val="F9B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B11AF"/>
    <w:multiLevelType w:val="hybridMultilevel"/>
    <w:tmpl w:val="3B22D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87DA5"/>
    <w:multiLevelType w:val="multilevel"/>
    <w:tmpl w:val="EA4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E70320"/>
    <w:multiLevelType w:val="hybridMultilevel"/>
    <w:tmpl w:val="6D6E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37E36"/>
    <w:multiLevelType w:val="hybridMultilevel"/>
    <w:tmpl w:val="6A825D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E48FF"/>
    <w:multiLevelType w:val="multilevel"/>
    <w:tmpl w:val="5D64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40955"/>
    <w:multiLevelType w:val="hybridMultilevel"/>
    <w:tmpl w:val="8118FD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33784"/>
    <w:multiLevelType w:val="multilevel"/>
    <w:tmpl w:val="DE3C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D61CAE"/>
    <w:multiLevelType w:val="multilevel"/>
    <w:tmpl w:val="D854D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78489F"/>
    <w:multiLevelType w:val="hybridMultilevel"/>
    <w:tmpl w:val="5C9C4B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E49E4"/>
    <w:multiLevelType w:val="hybridMultilevel"/>
    <w:tmpl w:val="0E5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7792B"/>
    <w:multiLevelType w:val="multilevel"/>
    <w:tmpl w:val="593A5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061CD5"/>
    <w:multiLevelType w:val="hybridMultilevel"/>
    <w:tmpl w:val="9C62E8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47C78"/>
    <w:multiLevelType w:val="multilevel"/>
    <w:tmpl w:val="D03E5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D5692E"/>
    <w:multiLevelType w:val="hybridMultilevel"/>
    <w:tmpl w:val="D2E64D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8EE2FFE"/>
    <w:multiLevelType w:val="hybridMultilevel"/>
    <w:tmpl w:val="B504E5A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A4A6091"/>
    <w:multiLevelType w:val="multilevel"/>
    <w:tmpl w:val="D382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EC7B8D"/>
    <w:multiLevelType w:val="hybridMultilevel"/>
    <w:tmpl w:val="6B0C15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B6FC0"/>
    <w:multiLevelType w:val="hybridMultilevel"/>
    <w:tmpl w:val="F57ACC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D90ACD"/>
    <w:multiLevelType w:val="multilevel"/>
    <w:tmpl w:val="F572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35D8F"/>
    <w:multiLevelType w:val="hybridMultilevel"/>
    <w:tmpl w:val="07E09E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84CE2"/>
    <w:multiLevelType w:val="multilevel"/>
    <w:tmpl w:val="70F2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0"/>
  </w:num>
  <w:num w:numId="5">
    <w:abstractNumId w:val="9"/>
  </w:num>
  <w:num w:numId="6">
    <w:abstractNumId w:val="40"/>
  </w:num>
  <w:num w:numId="7">
    <w:abstractNumId w:val="14"/>
  </w:num>
  <w:num w:numId="8">
    <w:abstractNumId w:val="41"/>
  </w:num>
  <w:num w:numId="9">
    <w:abstractNumId w:val="27"/>
  </w:num>
  <w:num w:numId="10">
    <w:abstractNumId w:val="5"/>
  </w:num>
  <w:num w:numId="11">
    <w:abstractNumId w:val="39"/>
  </w:num>
  <w:num w:numId="12">
    <w:abstractNumId w:val="16"/>
  </w:num>
  <w:num w:numId="13">
    <w:abstractNumId w:val="25"/>
  </w:num>
  <w:num w:numId="14">
    <w:abstractNumId w:val="1"/>
  </w:num>
  <w:num w:numId="15">
    <w:abstractNumId w:val="8"/>
  </w:num>
  <w:num w:numId="16">
    <w:abstractNumId w:val="23"/>
  </w:num>
  <w:num w:numId="17">
    <w:abstractNumId w:val="37"/>
  </w:num>
  <w:num w:numId="18">
    <w:abstractNumId w:val="22"/>
  </w:num>
  <w:num w:numId="19">
    <w:abstractNumId w:val="17"/>
  </w:num>
  <w:num w:numId="20">
    <w:abstractNumId w:val="10"/>
  </w:num>
  <w:num w:numId="21">
    <w:abstractNumId w:val="4"/>
  </w:num>
  <w:num w:numId="22">
    <w:abstractNumId w:val="29"/>
  </w:num>
  <w:num w:numId="23">
    <w:abstractNumId w:val="31"/>
  </w:num>
  <w:num w:numId="24">
    <w:abstractNumId w:val="21"/>
  </w:num>
  <w:num w:numId="25">
    <w:abstractNumId w:val="38"/>
  </w:num>
  <w:num w:numId="26">
    <w:abstractNumId w:val="38"/>
    <w:lvlOverride w:ilvl="1">
      <w:lvl w:ilvl="1">
        <w:numFmt w:val="lowerLetter"/>
        <w:lvlText w:val="%2."/>
        <w:lvlJc w:val="left"/>
      </w:lvl>
    </w:lvlOverride>
  </w:num>
  <w:num w:numId="27">
    <w:abstractNumId w:val="38"/>
    <w:lvlOverride w:ilvl="1">
      <w:lvl w:ilvl="1">
        <w:numFmt w:val="lowerLetter"/>
        <w:lvlText w:val="%2."/>
        <w:lvlJc w:val="left"/>
      </w:lvl>
    </w:lvlOverride>
  </w:num>
  <w:num w:numId="28">
    <w:abstractNumId w:val="32"/>
  </w:num>
  <w:num w:numId="29">
    <w:abstractNumId w:val="33"/>
  </w:num>
  <w:num w:numId="30">
    <w:abstractNumId w:val="11"/>
  </w:num>
  <w:num w:numId="31">
    <w:abstractNumId w:val="43"/>
  </w:num>
  <w:num w:numId="32">
    <w:abstractNumId w:val="12"/>
  </w:num>
  <w:num w:numId="33">
    <w:abstractNumId w:val="20"/>
  </w:num>
  <w:num w:numId="34">
    <w:abstractNumId w:val="2"/>
  </w:num>
  <w:num w:numId="35">
    <w:abstractNumId w:val="18"/>
  </w:num>
  <w:num w:numId="36">
    <w:abstractNumId w:val="34"/>
  </w:num>
  <w:num w:numId="37">
    <w:abstractNumId w:val="28"/>
  </w:num>
  <w:num w:numId="38">
    <w:abstractNumId w:val="7"/>
  </w:num>
  <w:num w:numId="39">
    <w:abstractNumId w:val="26"/>
  </w:num>
  <w:num w:numId="40">
    <w:abstractNumId w:val="13"/>
  </w:num>
  <w:num w:numId="41">
    <w:abstractNumId w:val="42"/>
  </w:num>
  <w:num w:numId="42">
    <w:abstractNumId w:val="36"/>
  </w:num>
  <w:num w:numId="43">
    <w:abstractNumId w:val="19"/>
  </w:num>
  <w:num w:numId="44">
    <w:abstractNumId w:val="15"/>
  </w:num>
  <w:num w:numId="45">
    <w:abstractNumId w:val="35"/>
  </w:num>
  <w:num w:numId="46">
    <w:abstractNumId w:val="2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1375E"/>
    <w:rsid w:val="002276BE"/>
    <w:rsid w:val="002329A0"/>
    <w:rsid w:val="00272CA1"/>
    <w:rsid w:val="00277B05"/>
    <w:rsid w:val="002B1283"/>
    <w:rsid w:val="002B7382"/>
    <w:rsid w:val="002F36F0"/>
    <w:rsid w:val="002F4851"/>
    <w:rsid w:val="002F5B99"/>
    <w:rsid w:val="00305747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30CB6"/>
    <w:rsid w:val="0047345F"/>
    <w:rsid w:val="00473FBD"/>
    <w:rsid w:val="004962BA"/>
    <w:rsid w:val="004E19FE"/>
    <w:rsid w:val="004E48A3"/>
    <w:rsid w:val="00534DA9"/>
    <w:rsid w:val="005458A3"/>
    <w:rsid w:val="005523CA"/>
    <w:rsid w:val="0055735F"/>
    <w:rsid w:val="00562232"/>
    <w:rsid w:val="00597660"/>
    <w:rsid w:val="005C18B9"/>
    <w:rsid w:val="005D06D1"/>
    <w:rsid w:val="005E6E56"/>
    <w:rsid w:val="00603C0B"/>
    <w:rsid w:val="00621C2D"/>
    <w:rsid w:val="00640B83"/>
    <w:rsid w:val="0065323E"/>
    <w:rsid w:val="00682235"/>
    <w:rsid w:val="006F6F78"/>
    <w:rsid w:val="0072085D"/>
    <w:rsid w:val="00724676"/>
    <w:rsid w:val="007378ED"/>
    <w:rsid w:val="00745294"/>
    <w:rsid w:val="007D7C13"/>
    <w:rsid w:val="00813170"/>
    <w:rsid w:val="0082419F"/>
    <w:rsid w:val="0083610B"/>
    <w:rsid w:val="00877AC7"/>
    <w:rsid w:val="008D2117"/>
    <w:rsid w:val="008E4783"/>
    <w:rsid w:val="00904099"/>
    <w:rsid w:val="00926F5C"/>
    <w:rsid w:val="009420F9"/>
    <w:rsid w:val="00946BF4"/>
    <w:rsid w:val="009862C5"/>
    <w:rsid w:val="009869D8"/>
    <w:rsid w:val="009B3C0E"/>
    <w:rsid w:val="00A32550"/>
    <w:rsid w:val="00A3529B"/>
    <w:rsid w:val="00A62257"/>
    <w:rsid w:val="00A67081"/>
    <w:rsid w:val="00AB1A6E"/>
    <w:rsid w:val="00AB20C0"/>
    <w:rsid w:val="00AB28C1"/>
    <w:rsid w:val="00AC02D6"/>
    <w:rsid w:val="00AD126C"/>
    <w:rsid w:val="00B00ACA"/>
    <w:rsid w:val="00B23D1F"/>
    <w:rsid w:val="00B25507"/>
    <w:rsid w:val="00B36CBA"/>
    <w:rsid w:val="00B51593"/>
    <w:rsid w:val="00B626CB"/>
    <w:rsid w:val="00B80231"/>
    <w:rsid w:val="00B843A0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10251"/>
    <w:rsid w:val="00D30D79"/>
    <w:rsid w:val="00D46521"/>
    <w:rsid w:val="00D70BD3"/>
    <w:rsid w:val="00D7193D"/>
    <w:rsid w:val="00D74DA9"/>
    <w:rsid w:val="00D97CBD"/>
    <w:rsid w:val="00DA277C"/>
    <w:rsid w:val="00DC127E"/>
    <w:rsid w:val="00DC7A1A"/>
    <w:rsid w:val="00DD70AF"/>
    <w:rsid w:val="00E019BB"/>
    <w:rsid w:val="00E2257D"/>
    <w:rsid w:val="00E573B0"/>
    <w:rsid w:val="00E809E8"/>
    <w:rsid w:val="00E9199D"/>
    <w:rsid w:val="00E97AF2"/>
    <w:rsid w:val="00EB1D35"/>
    <w:rsid w:val="00EC081B"/>
    <w:rsid w:val="00F24277"/>
    <w:rsid w:val="00F85CD8"/>
    <w:rsid w:val="00FA0A99"/>
    <w:rsid w:val="00FA1534"/>
    <w:rsid w:val="00FA1A42"/>
    <w:rsid w:val="00FD3D50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</cp:revision>
  <cp:lastPrinted>2019-09-18T14:25:00Z</cp:lastPrinted>
  <dcterms:created xsi:type="dcterms:W3CDTF">2021-10-08T06:41:00Z</dcterms:created>
  <dcterms:modified xsi:type="dcterms:W3CDTF">2021-10-08T09:41:00Z</dcterms:modified>
</cp:coreProperties>
</file>