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B9" w:rsidRDefault="00B670B9" w:rsidP="00B670B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25414">
        <w:rPr>
          <w:rFonts w:ascii="Tahoma" w:hAnsi="Tahoma" w:cs="Tahoma"/>
          <w:b/>
          <w:bCs/>
          <w:color w:val="000000"/>
          <w:sz w:val="20"/>
          <w:szCs w:val="20"/>
        </w:rPr>
        <w:t xml:space="preserve">FORMULARZ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PARAMETRY</w:t>
      </w:r>
    </w:p>
    <w:p w:rsidR="00DA2024" w:rsidRDefault="00DA2024" w:rsidP="00DA2024">
      <w:pPr>
        <w:rPr>
          <w:rFonts w:ascii="Tahoma" w:hAnsi="Tahoma" w:cs="Tahoma"/>
          <w:color w:val="0070C0"/>
          <w:sz w:val="20"/>
          <w:szCs w:val="20"/>
        </w:rPr>
      </w:pPr>
    </w:p>
    <w:p w:rsidR="00DC6E02" w:rsidRDefault="00DC6E02" w:rsidP="00DA2024">
      <w:pPr>
        <w:rPr>
          <w:rFonts w:ascii="Tahoma" w:hAnsi="Tahoma" w:cs="Tahoma"/>
          <w:color w:val="0070C0"/>
          <w:sz w:val="20"/>
          <w:szCs w:val="20"/>
        </w:rPr>
      </w:pPr>
    </w:p>
    <w:p w:rsidR="00DA2024" w:rsidRDefault="00DA2024" w:rsidP="00DA2024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374F99" w:rsidRPr="0022432A" w:rsidRDefault="00374F99" w:rsidP="00DA2024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ED65AC" w:rsidRDefault="002D2489" w:rsidP="00466681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5631CD">
        <w:rPr>
          <w:rFonts w:ascii="Tahoma" w:hAnsi="Tahoma" w:cs="Tahoma"/>
          <w:sz w:val="20"/>
          <w:szCs w:val="20"/>
        </w:rPr>
        <w:t>,</w:t>
      </w:r>
      <w:r w:rsidRPr="00AF7532">
        <w:rPr>
          <w:rFonts w:ascii="Tahoma" w:hAnsi="Tahoma" w:cs="Tahoma"/>
          <w:sz w:val="20"/>
          <w:szCs w:val="20"/>
        </w:rPr>
        <w:t xml:space="preserve"> pn</w:t>
      </w:r>
      <w:r w:rsidRPr="00A31BAB">
        <w:rPr>
          <w:rFonts w:ascii="Tahoma" w:hAnsi="Tahoma" w:cs="Tahoma"/>
          <w:sz w:val="20"/>
          <w:szCs w:val="20"/>
        </w:rPr>
        <w:t>.</w:t>
      </w:r>
      <w:r w:rsidRPr="00A31BAB">
        <w:rPr>
          <w:sz w:val="20"/>
          <w:szCs w:val="20"/>
        </w:rPr>
        <w:t xml:space="preserve"> </w:t>
      </w:r>
      <w:r w:rsidR="00FC28B1">
        <w:rPr>
          <w:rFonts w:ascii="Tahoma" w:hAnsi="Tahoma" w:cs="Tahoma"/>
          <w:sz w:val="20"/>
          <w:szCs w:val="20"/>
        </w:rPr>
        <w:t>Systemu do obrazowania</w:t>
      </w:r>
      <w:r w:rsidRPr="0046668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oznaczenie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2D248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631CD">
        <w:rPr>
          <w:rFonts w:ascii="Tahoma" w:hAnsi="Tahoma" w:cs="Tahoma"/>
          <w:b/>
          <w:bCs/>
          <w:sz w:val="20"/>
          <w:szCs w:val="20"/>
        </w:rPr>
        <w:t>AZP-261-</w:t>
      </w:r>
      <w:r w:rsidR="00FC28B1">
        <w:rPr>
          <w:rFonts w:ascii="Tahoma" w:hAnsi="Tahoma" w:cs="Tahoma"/>
          <w:b/>
          <w:bCs/>
          <w:sz w:val="20"/>
          <w:szCs w:val="20"/>
        </w:rPr>
        <w:t>57</w:t>
      </w:r>
      <w:r w:rsidR="005631CD">
        <w:rPr>
          <w:rFonts w:ascii="Tahoma" w:hAnsi="Tahoma" w:cs="Tahoma"/>
          <w:b/>
          <w:bCs/>
          <w:sz w:val="20"/>
          <w:szCs w:val="20"/>
        </w:rPr>
        <w:t>/2021,</w:t>
      </w:r>
      <w:r w:rsidRPr="00BF16AE">
        <w:rPr>
          <w:rFonts w:ascii="Tahoma" w:hAnsi="Tahoma" w:cs="Tahoma"/>
          <w:sz w:val="20"/>
          <w:szCs w:val="20"/>
        </w:rPr>
        <w:t xml:space="preserve">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>,</w:t>
      </w:r>
    </w:p>
    <w:p w:rsidR="002D2489" w:rsidRPr="002D2489" w:rsidRDefault="002D2489" w:rsidP="00466681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075E53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bookmarkStart w:id="0" w:name="_Hlk73429668"/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</w:t>
      </w:r>
      <w:r w:rsidR="00DD5553">
        <w:rPr>
          <w:rFonts w:ascii="Tahoma" w:hAnsi="Tahoma" w:cs="Tahoma"/>
          <w:b/>
          <w:bCs/>
          <w:sz w:val="20"/>
          <w:szCs w:val="20"/>
        </w:rPr>
        <w:t>.,</w:t>
      </w:r>
      <w:bookmarkEnd w:id="0"/>
    </w:p>
    <w:p w:rsidR="00211152" w:rsidRDefault="00DC6E02" w:rsidP="002D2489">
      <w:pPr>
        <w:spacing w:line="360" w:lineRule="auto"/>
        <w:rPr>
          <w:rFonts w:ascii="Tahoma" w:hAnsi="Tahoma" w:cs="Tahoma"/>
          <w:sz w:val="20"/>
          <w:szCs w:val="20"/>
        </w:rPr>
      </w:pPr>
      <w:r w:rsidRPr="00DC6E02">
        <w:rPr>
          <w:rFonts w:ascii="Tahoma" w:hAnsi="Tahoma" w:cs="Tahoma"/>
          <w:sz w:val="20"/>
          <w:szCs w:val="20"/>
        </w:rPr>
        <w:t xml:space="preserve">oświadczam, że oferujemy urządzenie o parametrach </w:t>
      </w:r>
      <w:proofErr w:type="spellStart"/>
      <w:r w:rsidRPr="00DC6E02">
        <w:rPr>
          <w:rFonts w:ascii="Tahoma" w:hAnsi="Tahoma" w:cs="Tahoma"/>
          <w:sz w:val="20"/>
          <w:szCs w:val="20"/>
        </w:rPr>
        <w:t>techniczno</w:t>
      </w:r>
      <w:proofErr w:type="spellEnd"/>
      <w:r w:rsidRPr="00DC6E02">
        <w:rPr>
          <w:rFonts w:ascii="Tahoma" w:hAnsi="Tahoma" w:cs="Tahoma"/>
          <w:sz w:val="20"/>
          <w:szCs w:val="20"/>
        </w:rPr>
        <w:t>–funkcjonalnych wskazanych i opisanych w tabeli poniżej.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5066"/>
        <w:gridCol w:w="4896"/>
      </w:tblGrid>
      <w:tr w:rsidR="00DC6E02" w:rsidTr="00AF6AE5">
        <w:tc>
          <w:tcPr>
            <w:tcW w:w="10456" w:type="dxa"/>
            <w:gridSpan w:val="3"/>
          </w:tcPr>
          <w:p w:rsidR="00DC6E02" w:rsidRDefault="00DC6E02" w:rsidP="003126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Wzmacn</w:t>
            </w:r>
            <w:r w:rsidR="003126FA">
              <w:rPr>
                <w:rFonts w:ascii="Calibri" w:eastAsia="Calibri" w:hAnsi="Calibri" w:cs="Calibri"/>
                <w:sz w:val="22"/>
                <w:szCs w:val="22"/>
              </w:rPr>
              <w:t>iacza sygnału bioelektrycznego</w:t>
            </w:r>
          </w:p>
        </w:tc>
      </w:tr>
      <w:tr w:rsidR="00DC6E02" w:rsidTr="00D32703">
        <w:tc>
          <w:tcPr>
            <w:tcW w:w="494" w:type="dxa"/>
          </w:tcPr>
          <w:p w:rsidR="00DC6E02" w:rsidRDefault="00DC6E02" w:rsidP="00DC6E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2" w:rsidRPr="00677348" w:rsidRDefault="00DC6E02" w:rsidP="00DC6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</w:t>
            </w:r>
          </w:p>
          <w:p w:rsidR="00DC6E02" w:rsidRPr="00677348" w:rsidRDefault="00DC6E02" w:rsidP="00DC6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E02" w:rsidRPr="00677348" w:rsidRDefault="00DC6E02" w:rsidP="00DC6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</w:p>
          <w:p w:rsidR="00DC6E02" w:rsidRPr="00677348" w:rsidRDefault="00DC6E02" w:rsidP="00DC6E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4463B2" w:rsidTr="004463B2">
        <w:tc>
          <w:tcPr>
            <w:tcW w:w="494" w:type="dxa"/>
          </w:tcPr>
          <w:p w:rsidR="004463B2" w:rsidRPr="006B3D9D" w:rsidRDefault="004463B2" w:rsidP="004463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3D9D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5066" w:type="dxa"/>
          </w:tcPr>
          <w:p w:rsidR="004463B2" w:rsidRPr="006B3D9D" w:rsidRDefault="004463B2" w:rsidP="004463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3D9D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4896" w:type="dxa"/>
          </w:tcPr>
          <w:p w:rsidR="004463B2" w:rsidRPr="006B3D9D" w:rsidRDefault="004463B2" w:rsidP="004463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3D9D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7C022B" w:rsidRPr="007C022B" w:rsidTr="004463B2">
        <w:tc>
          <w:tcPr>
            <w:tcW w:w="494" w:type="dxa"/>
          </w:tcPr>
          <w:p w:rsidR="007C022B" w:rsidRPr="00E12B24" w:rsidRDefault="007C022B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</w:tcPr>
          <w:p w:rsidR="007C022B" w:rsidRPr="007C022B" w:rsidRDefault="007C022B" w:rsidP="00E1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Calibri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896" w:type="dxa"/>
          </w:tcPr>
          <w:p w:rsidR="007C022B" w:rsidRPr="007C022B" w:rsidRDefault="007C022B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RPr="00E12B24" w:rsidTr="004463B2">
        <w:tc>
          <w:tcPr>
            <w:tcW w:w="494" w:type="dxa"/>
          </w:tcPr>
          <w:p w:rsidR="00E12B24" w:rsidRPr="00E12B24" w:rsidRDefault="00E12B24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  <w:bookmarkStart w:id="1" w:name="_Hlk75771497"/>
          </w:p>
        </w:tc>
        <w:tc>
          <w:tcPr>
            <w:tcW w:w="5066" w:type="dxa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Wielokanałowy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system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skaningowy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zapisu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analizy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wzbudzonej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laserowo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fluorescencji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, w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tym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fluorescencji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podczerwieni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, z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dodatkową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możliwością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rejestracji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obiektów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świetle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przechodzącym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  <w:lang w:val="en-US"/>
              </w:rPr>
              <w:t>odbitym</w:t>
            </w:r>
            <w:proofErr w:type="spellEnd"/>
          </w:p>
        </w:tc>
        <w:tc>
          <w:tcPr>
            <w:tcW w:w="4896" w:type="dxa"/>
          </w:tcPr>
          <w:p w:rsidR="00E12B24" w:rsidRPr="00E12B24" w:rsidRDefault="00E12B24" w:rsidP="00E12B2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12B24" w:rsidTr="00FC28B1">
        <w:tc>
          <w:tcPr>
            <w:tcW w:w="494" w:type="dxa"/>
          </w:tcPr>
          <w:p w:rsidR="00E12B24" w:rsidRPr="00E12B24" w:rsidRDefault="00E12B24" w:rsidP="00FC28B1">
            <w:pPr>
              <w:pStyle w:val="Akapitzlist"/>
              <w:numPr>
                <w:ilvl w:val="0"/>
                <w:numId w:val="20"/>
              </w:numPr>
              <w:ind w:left="357" w:hanging="357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066" w:type="dxa"/>
            <w:vAlign w:val="center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Wzbudzenie i rejestracja fluorescencji z możliwością jednoczesnego wzbudzenia i rejestracji fluorescencji dla przynajmniej trzech różnych długości fali w oddzielnych kanałach optycznych.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Tr="00FC28B1">
        <w:tc>
          <w:tcPr>
            <w:tcW w:w="494" w:type="dxa"/>
          </w:tcPr>
          <w:p w:rsidR="00E12B24" w:rsidRPr="00E12B24" w:rsidRDefault="00E12B24" w:rsidP="00FC28B1">
            <w:pPr>
              <w:pStyle w:val="Akapitzlist"/>
              <w:numPr>
                <w:ilvl w:val="0"/>
                <w:numId w:val="20"/>
              </w:numPr>
              <w:ind w:left="357" w:hanging="3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  <w:vAlign w:val="center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Wzbudzenie fluorescencji za pomocą laserów o długościach fali 685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nm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, 785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nm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, 520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Tr="00FC28B1">
        <w:tc>
          <w:tcPr>
            <w:tcW w:w="494" w:type="dxa"/>
          </w:tcPr>
          <w:p w:rsidR="00E12B24" w:rsidRPr="00E12B24" w:rsidRDefault="00E12B24" w:rsidP="00FC28B1">
            <w:pPr>
              <w:pStyle w:val="Akapitzlist"/>
              <w:numPr>
                <w:ilvl w:val="0"/>
                <w:numId w:val="20"/>
              </w:numPr>
              <w:ind w:left="357" w:hanging="3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  <w:vAlign w:val="center"/>
          </w:tcPr>
          <w:p w:rsidR="00E12B24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Detekcja fluorescencji w zakresie: 721-740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nm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, 816-840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nm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, 570-610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nm</w:t>
            </w:r>
            <w:proofErr w:type="spellEnd"/>
          </w:p>
          <w:p w:rsidR="00FC28B1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Obecność lasera 488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nm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 i detekcja w zakresie 519-543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nm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 będzie dodatkowo punktowana w kryterium oceny ofert, ponieważ umożliwi zastosowanie dodatkowych znaczników fluorescencyjnych.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Tr="004463B2">
        <w:tc>
          <w:tcPr>
            <w:tcW w:w="494" w:type="dxa"/>
          </w:tcPr>
          <w:p w:rsidR="00E12B24" w:rsidRPr="00E12B24" w:rsidRDefault="00E12B24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Liniowa detekcja emisji za pomocą detektorów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sCMOS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 lub fotodiod lawinowych, oddzielnych dla każdego kanału. Zastosowanie detektorów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sCMOS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 będzie dodatkowo punktowana w kryterium oceny ofert, ponieważ charakteryzują się szerszym zakresem dynamicznym.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Tr="004463B2">
        <w:tc>
          <w:tcPr>
            <w:tcW w:w="494" w:type="dxa"/>
          </w:tcPr>
          <w:p w:rsidR="00E12B24" w:rsidRPr="00E12B24" w:rsidRDefault="00E12B24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Dynamika rejestracji fluorescencji lepsza niż 6 rzędów (22-bity) uzyskana w wyniku softwarowego składania obrazu lub w wyniku jednokrotnej akwizycji. Jednokrotna akwizycja będzie dodatkowo punktowana ponieważ dzięki niej następuje zapis surowego sygnału, bez konieczności składania kilku obrazów i manipulacji softwareowej.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  <w:tr w:rsidR="00E12B24" w:rsidTr="004463B2">
        <w:tc>
          <w:tcPr>
            <w:tcW w:w="494" w:type="dxa"/>
          </w:tcPr>
          <w:p w:rsidR="00E12B24" w:rsidRPr="00E12B24" w:rsidRDefault="00E12B24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Rozdzielczość w zakresie 10 - 100 µm jest wymagana. Jeśli Wykonawca poza oferowanie rozdzielczości w zakresie 10 - 100 µm oferuje również rozdzielczość 5 µm będzie to dodatkowo punktowane w kryterium oceny ofert, ponieważ umożliwia zapis obrazów z preparatów mikroskopowych.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Tr="004463B2">
        <w:tc>
          <w:tcPr>
            <w:tcW w:w="494" w:type="dxa"/>
          </w:tcPr>
          <w:p w:rsidR="00E12B24" w:rsidRPr="00E12B24" w:rsidRDefault="00E12B24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Zapis danych w postaci plików TIFF-FP oddzielnych dla każdego kanału fluorescencji.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Tr="004463B2">
        <w:tc>
          <w:tcPr>
            <w:tcW w:w="494" w:type="dxa"/>
          </w:tcPr>
          <w:p w:rsidR="00E12B24" w:rsidRPr="00E12B24" w:rsidRDefault="00E12B24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Trzy dodatkowe źródła promieniowania LED 470, 520 i 630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nm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 umożliwiające rejestrację obiektów w trybie światła przechodzącego i odbitego. Zapis sygnału w wybranych kanałach lub rejestracja 24-bitowych obrazów w rzeczywistych kolorach.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Tr="004463B2">
        <w:tc>
          <w:tcPr>
            <w:tcW w:w="494" w:type="dxa"/>
          </w:tcPr>
          <w:p w:rsidR="00E12B24" w:rsidRPr="00E12B24" w:rsidRDefault="00E12B24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Możliwość rejestracji multimodalnej tj. jednoczesnego zapisu obrazu obiektów wymagających odmiennych parametrów procesu.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Tr="004463B2">
        <w:tc>
          <w:tcPr>
            <w:tcW w:w="494" w:type="dxa"/>
          </w:tcPr>
          <w:p w:rsidR="00E12B24" w:rsidRPr="00E12B24" w:rsidRDefault="00E12B24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</w:tcPr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Fabryczne oprogramowanie, umożliwiające sterowanie funkcjami aparatu oraz automatyczną i ręczną rejestrację obrazu, wyposażone w funkcje analityczne i walidacyjne dla procesu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immunoblotingu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>, zgodne z aktualnymi wymaganiami wiodących czasopism.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Zawiera: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1.Moduł kontrolno-rejestrujący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-zapis obrazów w postaci nieprzetworzonej softwareowo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-rejestracja wszelkich zmian w wyświetlaniu obrazu wprowadzonych przez użytkownika 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2.Zaawansowany moduł analizy i normalizacji wyników (min. 10 stacji roboczych)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-analiza membran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immunoblotingu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elektroforegramów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, płytek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titracyjnych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>, preparatów mikroskopowych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-cykl roboczy eliminujący wpływ poszczególnych operatorów na wyniki analiz, zgodny z nowymi  wymaganiami publikacji w czasopismach naukowych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-system adaptacyjnej redukcji tła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-walidacja przeciwciał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-złożona walidacja liniowego zakresu procesu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-walidacja białek referencyjnych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-normalizacja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-analiza </w:t>
            </w:r>
            <w:proofErr w:type="spellStart"/>
            <w:r w:rsidRPr="00FC28B1">
              <w:rPr>
                <w:rFonts w:ascii="Tahoma" w:eastAsia="Calibri" w:hAnsi="Tahoma" w:cs="Tahoma"/>
                <w:sz w:val="20"/>
                <w:szCs w:val="20"/>
              </w:rPr>
              <w:t>replikatów</w:t>
            </w:r>
            <w:proofErr w:type="spellEnd"/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:rsidR="00FC28B1" w:rsidRPr="00FC28B1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 xml:space="preserve">-dokumentacja eksperymentów w postaci dziennika laboratoryjnego  </w:t>
            </w:r>
          </w:p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-eksport wyników w postaci kompletnego pakietu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2B24" w:rsidTr="004463B2">
        <w:tc>
          <w:tcPr>
            <w:tcW w:w="494" w:type="dxa"/>
          </w:tcPr>
          <w:p w:rsidR="00E12B24" w:rsidRPr="00E12B24" w:rsidRDefault="00E12B24" w:rsidP="00E12B24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6" w:type="dxa"/>
          </w:tcPr>
          <w:p w:rsidR="00E12B24" w:rsidRPr="00FD63C2" w:rsidRDefault="00FC28B1" w:rsidP="00FC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28B1">
              <w:rPr>
                <w:rFonts w:ascii="Tahoma" w:eastAsia="Calibri" w:hAnsi="Tahoma" w:cs="Tahoma"/>
                <w:sz w:val="20"/>
                <w:szCs w:val="20"/>
              </w:rPr>
              <w:t>Oprogramowanie zainstalowane na dysku stacji sterującej wyposażonej w kalibrowany monitor o przekątnej min. 24”.</w:t>
            </w:r>
          </w:p>
        </w:tc>
        <w:tc>
          <w:tcPr>
            <w:tcW w:w="4896" w:type="dxa"/>
          </w:tcPr>
          <w:p w:rsidR="00E12B24" w:rsidRDefault="00E12B24" w:rsidP="00E12B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11152" w:rsidRDefault="00211152" w:rsidP="002D2489">
      <w:pPr>
        <w:spacing w:line="360" w:lineRule="auto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sectPr w:rsidR="00211152" w:rsidSect="001B49B1">
      <w:headerReference w:type="default" r:id="rId7"/>
      <w:footerReference w:type="default" r:id="rId8"/>
      <w:pgSz w:w="11906" w:h="16838"/>
      <w:pgMar w:top="720" w:right="720" w:bottom="720" w:left="720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4A" w:rsidRDefault="0004204A">
      <w:r>
        <w:separator/>
      </w:r>
    </w:p>
  </w:endnote>
  <w:endnote w:type="continuationSeparator" w:id="0">
    <w:p w:rsidR="0004204A" w:rsidRDefault="0004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89" w:rsidRDefault="002D2489">
    <w:pPr>
      <w:pStyle w:val="Stopka"/>
      <w:jc w:val="right"/>
    </w:pPr>
  </w:p>
  <w:p w:rsidR="002D2489" w:rsidRDefault="002D24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4A" w:rsidRDefault="0004204A">
      <w:r>
        <w:separator/>
      </w:r>
    </w:p>
  </w:footnote>
  <w:footnote w:type="continuationSeparator" w:id="0">
    <w:p w:rsidR="0004204A" w:rsidRDefault="0004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32" w:rsidRDefault="00023432" w:rsidP="00023432">
    <w:pPr>
      <w:pStyle w:val="Nagwek"/>
      <w:spacing w:before="0" w:after="0"/>
      <w:jc w:val="right"/>
      <w:rPr>
        <w:rFonts w:ascii="Tahoma" w:hAnsi="Tahoma" w:cs="Tahoma"/>
        <w:i/>
        <w:color w:val="0070C0"/>
        <w:sz w:val="18"/>
        <w:szCs w:val="18"/>
      </w:rPr>
    </w:pPr>
  </w:p>
  <w:p w:rsidR="00023432" w:rsidRDefault="00023432" w:rsidP="00023432">
    <w:pPr>
      <w:pStyle w:val="Nagwek"/>
      <w:spacing w:before="0" w:after="0"/>
      <w:jc w:val="right"/>
      <w:rPr>
        <w:rFonts w:ascii="Tahoma" w:hAnsi="Tahoma" w:cs="Tahoma"/>
        <w:i/>
        <w:color w:val="0070C0"/>
        <w:sz w:val="18"/>
        <w:szCs w:val="18"/>
      </w:rPr>
    </w:pPr>
  </w:p>
  <w:p w:rsidR="00023432" w:rsidRDefault="00023432" w:rsidP="00023432">
    <w:pPr>
      <w:pStyle w:val="Nagwek"/>
      <w:spacing w:before="0" w:after="0"/>
      <w:jc w:val="right"/>
      <w:rPr>
        <w:rFonts w:ascii="Tahoma" w:hAnsi="Tahoma" w:cs="Tahoma"/>
        <w:i/>
        <w:color w:val="0070C0"/>
        <w:sz w:val="18"/>
        <w:szCs w:val="18"/>
      </w:rPr>
    </w:pPr>
  </w:p>
  <w:p w:rsidR="00023432" w:rsidRPr="00844E64" w:rsidRDefault="002D2489" w:rsidP="00023432">
    <w:pPr>
      <w:pStyle w:val="Nagwek"/>
      <w:spacing w:before="0" w:after="0"/>
      <w:jc w:val="right"/>
      <w:rPr>
        <w:rFonts w:ascii="Tahoma" w:hAnsi="Tahoma" w:cs="Tahoma"/>
        <w:i/>
        <w:color w:val="0070C0"/>
        <w:sz w:val="18"/>
        <w:szCs w:val="18"/>
      </w:rPr>
    </w:pPr>
    <w:r w:rsidRPr="00844E64">
      <w:rPr>
        <w:rFonts w:ascii="Tahoma" w:hAnsi="Tahoma" w:cs="Tahoma"/>
        <w:i/>
        <w:color w:val="0070C0"/>
        <w:sz w:val="18"/>
        <w:szCs w:val="18"/>
      </w:rPr>
      <w:t xml:space="preserve">załącznik nr </w:t>
    </w:r>
    <w:r w:rsidR="005631CD">
      <w:rPr>
        <w:rFonts w:ascii="Tahoma" w:hAnsi="Tahoma" w:cs="Tahoma"/>
        <w:i/>
        <w:color w:val="0070C0"/>
        <w:sz w:val="18"/>
        <w:szCs w:val="18"/>
      </w:rPr>
      <w:t>2</w:t>
    </w:r>
    <w:r w:rsidR="00ED65AC">
      <w:rPr>
        <w:rFonts w:ascii="Tahoma" w:hAnsi="Tahoma" w:cs="Tahoma"/>
        <w:i/>
        <w:color w:val="0070C0"/>
        <w:sz w:val="18"/>
        <w:szCs w:val="18"/>
      </w:rPr>
      <w:t xml:space="preserve"> </w:t>
    </w:r>
    <w:r w:rsidRPr="00844E64">
      <w:rPr>
        <w:rFonts w:ascii="Tahoma" w:hAnsi="Tahoma" w:cs="Tahoma"/>
        <w:i/>
        <w:color w:val="0070C0"/>
        <w:sz w:val="18"/>
        <w:szCs w:val="18"/>
      </w:rPr>
      <w:t>do SWZ</w:t>
    </w:r>
  </w:p>
  <w:p w:rsidR="00023432" w:rsidRPr="00844E64" w:rsidRDefault="00023432" w:rsidP="00023432">
    <w:pPr>
      <w:pStyle w:val="Nagwek"/>
      <w:spacing w:before="0" w:after="0"/>
      <w:jc w:val="right"/>
      <w:rPr>
        <w:rFonts w:ascii="Tahoma" w:hAnsi="Tahoma" w:cs="Tahoma"/>
        <w:i/>
        <w:color w:val="0070C0"/>
        <w:sz w:val="18"/>
        <w:szCs w:val="18"/>
      </w:rPr>
    </w:pPr>
    <w:r w:rsidRPr="00844E64">
      <w:rPr>
        <w:rFonts w:ascii="Tahoma" w:hAnsi="Tahoma" w:cs="Tahoma"/>
        <w:i/>
        <w:color w:val="0070C0"/>
        <w:sz w:val="18"/>
        <w:szCs w:val="18"/>
      </w:rPr>
      <w:t>AZP-261-</w:t>
    </w:r>
    <w:r w:rsidR="00FC28B1">
      <w:rPr>
        <w:rFonts w:ascii="Tahoma" w:hAnsi="Tahoma" w:cs="Tahoma"/>
        <w:i/>
        <w:color w:val="0070C0"/>
        <w:sz w:val="18"/>
        <w:szCs w:val="18"/>
      </w:rPr>
      <w:t>57</w:t>
    </w:r>
    <w:r w:rsidR="005631CD">
      <w:rPr>
        <w:rFonts w:ascii="Tahoma" w:hAnsi="Tahoma" w:cs="Tahoma"/>
        <w:i/>
        <w:color w:val="0070C0"/>
        <w:sz w:val="18"/>
        <w:szCs w:val="18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301"/>
    <w:multiLevelType w:val="hybridMultilevel"/>
    <w:tmpl w:val="B696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1F6"/>
    <w:multiLevelType w:val="hybridMultilevel"/>
    <w:tmpl w:val="BB424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B7E"/>
    <w:multiLevelType w:val="hybridMultilevel"/>
    <w:tmpl w:val="B7CECD84"/>
    <w:lvl w:ilvl="0" w:tplc="9836D0C4">
      <w:start w:val="1"/>
      <w:numFmt w:val="ordinal"/>
      <w:lvlText w:val="2.%1"/>
      <w:lvlJc w:val="center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30D0E20"/>
    <w:multiLevelType w:val="hybridMultilevel"/>
    <w:tmpl w:val="2262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0EF6"/>
    <w:multiLevelType w:val="hybridMultilevel"/>
    <w:tmpl w:val="B08A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15514"/>
    <w:multiLevelType w:val="hybridMultilevel"/>
    <w:tmpl w:val="35F0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768C8"/>
    <w:multiLevelType w:val="hybridMultilevel"/>
    <w:tmpl w:val="896C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B3F"/>
    <w:multiLevelType w:val="hybridMultilevel"/>
    <w:tmpl w:val="5234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215D1"/>
    <w:multiLevelType w:val="hybridMultilevel"/>
    <w:tmpl w:val="46024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6BE3"/>
    <w:multiLevelType w:val="hybridMultilevel"/>
    <w:tmpl w:val="5B401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35178"/>
    <w:multiLevelType w:val="hybridMultilevel"/>
    <w:tmpl w:val="4858B29C"/>
    <w:lvl w:ilvl="0" w:tplc="04150005">
      <w:start w:val="1"/>
      <w:numFmt w:val="bullet"/>
      <w:lvlText w:val=""/>
      <w:lvlJc w:val="left"/>
      <w:pPr>
        <w:ind w:left="40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11" w15:restartNumberingAfterBreak="0">
    <w:nsid w:val="4F8C7495"/>
    <w:multiLevelType w:val="hybridMultilevel"/>
    <w:tmpl w:val="A6A4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61EC6"/>
    <w:multiLevelType w:val="hybridMultilevel"/>
    <w:tmpl w:val="FBB04CCE"/>
    <w:lvl w:ilvl="0" w:tplc="28DC01B6">
      <w:start w:val="1"/>
      <w:numFmt w:val="ordinal"/>
      <w:suff w:val="space"/>
      <w:lvlText w:val="1.%1"/>
      <w:lvlJc w:val="center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877791"/>
    <w:multiLevelType w:val="hybridMultilevel"/>
    <w:tmpl w:val="643009C6"/>
    <w:lvl w:ilvl="0" w:tplc="3D94C4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56DBD"/>
    <w:multiLevelType w:val="hybridMultilevel"/>
    <w:tmpl w:val="64BC1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268FE"/>
    <w:multiLevelType w:val="hybridMultilevel"/>
    <w:tmpl w:val="5338EF42"/>
    <w:lvl w:ilvl="0" w:tplc="3D94C4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67AD9"/>
    <w:multiLevelType w:val="hybridMultilevel"/>
    <w:tmpl w:val="71E6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6FDC"/>
    <w:multiLevelType w:val="hybridMultilevel"/>
    <w:tmpl w:val="2DE29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62FCB"/>
    <w:multiLevelType w:val="hybridMultilevel"/>
    <w:tmpl w:val="8C92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A3878"/>
    <w:multiLevelType w:val="hybridMultilevel"/>
    <w:tmpl w:val="24B6A3FA"/>
    <w:lvl w:ilvl="0" w:tplc="3D94C4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1"/>
  </w:num>
  <w:num w:numId="5">
    <w:abstractNumId w:val="19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4"/>
  </w:num>
  <w:num w:numId="11">
    <w:abstractNumId w:val="17"/>
  </w:num>
  <w:num w:numId="12">
    <w:abstractNumId w:val="13"/>
  </w:num>
  <w:num w:numId="13">
    <w:abstractNumId w:val="15"/>
  </w:num>
  <w:num w:numId="14">
    <w:abstractNumId w:val="10"/>
  </w:num>
  <w:num w:numId="15">
    <w:abstractNumId w:val="9"/>
  </w:num>
  <w:num w:numId="16">
    <w:abstractNumId w:val="12"/>
  </w:num>
  <w:num w:numId="17">
    <w:abstractNumId w:val="2"/>
  </w:num>
  <w:num w:numId="18">
    <w:abstractNumId w:val="18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5A"/>
    <w:rsid w:val="00013981"/>
    <w:rsid w:val="00023432"/>
    <w:rsid w:val="0004204A"/>
    <w:rsid w:val="001048F7"/>
    <w:rsid w:val="00151280"/>
    <w:rsid w:val="001A1942"/>
    <w:rsid w:val="001B49B1"/>
    <w:rsid w:val="001C4B4D"/>
    <w:rsid w:val="001C4C9B"/>
    <w:rsid w:val="001F34D0"/>
    <w:rsid w:val="00211152"/>
    <w:rsid w:val="002562FD"/>
    <w:rsid w:val="0028677D"/>
    <w:rsid w:val="002A1420"/>
    <w:rsid w:val="002D2489"/>
    <w:rsid w:val="002D5307"/>
    <w:rsid w:val="002F416E"/>
    <w:rsid w:val="00306AE2"/>
    <w:rsid w:val="003126FA"/>
    <w:rsid w:val="003331A5"/>
    <w:rsid w:val="003541E4"/>
    <w:rsid w:val="00374F99"/>
    <w:rsid w:val="003A3D58"/>
    <w:rsid w:val="003B6B36"/>
    <w:rsid w:val="003C186C"/>
    <w:rsid w:val="003E79AE"/>
    <w:rsid w:val="003F4821"/>
    <w:rsid w:val="004463B2"/>
    <w:rsid w:val="00466681"/>
    <w:rsid w:val="00486652"/>
    <w:rsid w:val="004B3DDA"/>
    <w:rsid w:val="004C123C"/>
    <w:rsid w:val="004C3297"/>
    <w:rsid w:val="004C6031"/>
    <w:rsid w:val="004F2A0F"/>
    <w:rsid w:val="0051314B"/>
    <w:rsid w:val="00515710"/>
    <w:rsid w:val="005612B8"/>
    <w:rsid w:val="005631CD"/>
    <w:rsid w:val="0059445E"/>
    <w:rsid w:val="005D5447"/>
    <w:rsid w:val="005D5E0E"/>
    <w:rsid w:val="0060557C"/>
    <w:rsid w:val="00607235"/>
    <w:rsid w:val="006238F7"/>
    <w:rsid w:val="006B3D9D"/>
    <w:rsid w:val="006D015F"/>
    <w:rsid w:val="0075365A"/>
    <w:rsid w:val="0076489E"/>
    <w:rsid w:val="007B055C"/>
    <w:rsid w:val="007C022B"/>
    <w:rsid w:val="007E16AB"/>
    <w:rsid w:val="007E5E73"/>
    <w:rsid w:val="008203F9"/>
    <w:rsid w:val="00844E64"/>
    <w:rsid w:val="0084657C"/>
    <w:rsid w:val="00884767"/>
    <w:rsid w:val="00891905"/>
    <w:rsid w:val="00896558"/>
    <w:rsid w:val="008A481C"/>
    <w:rsid w:val="008B7D87"/>
    <w:rsid w:val="008D57AD"/>
    <w:rsid w:val="008E1A42"/>
    <w:rsid w:val="008E1EEB"/>
    <w:rsid w:val="00914B97"/>
    <w:rsid w:val="00923395"/>
    <w:rsid w:val="00A0016F"/>
    <w:rsid w:val="00A25414"/>
    <w:rsid w:val="00A50903"/>
    <w:rsid w:val="00A91B62"/>
    <w:rsid w:val="00AF2264"/>
    <w:rsid w:val="00B01E86"/>
    <w:rsid w:val="00B2758E"/>
    <w:rsid w:val="00B54EE0"/>
    <w:rsid w:val="00B670B9"/>
    <w:rsid w:val="00BC5C41"/>
    <w:rsid w:val="00C12FD2"/>
    <w:rsid w:val="00C2665A"/>
    <w:rsid w:val="00C40FB9"/>
    <w:rsid w:val="00CD7444"/>
    <w:rsid w:val="00D4071D"/>
    <w:rsid w:val="00D52CE6"/>
    <w:rsid w:val="00DA2024"/>
    <w:rsid w:val="00DA5E2B"/>
    <w:rsid w:val="00DC6E02"/>
    <w:rsid w:val="00DD5553"/>
    <w:rsid w:val="00DE54EE"/>
    <w:rsid w:val="00E11688"/>
    <w:rsid w:val="00E12B24"/>
    <w:rsid w:val="00E41888"/>
    <w:rsid w:val="00E82F1E"/>
    <w:rsid w:val="00E979E3"/>
    <w:rsid w:val="00ED65AC"/>
    <w:rsid w:val="00EE260C"/>
    <w:rsid w:val="00F50910"/>
    <w:rsid w:val="00FC1B2C"/>
    <w:rsid w:val="00FC28B1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07742"/>
  <w15:docId w15:val="{CF04DE31-7959-404E-BA96-12D1C668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942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FC1B2C"/>
    <w:pPr>
      <w:ind w:left="566" w:hanging="283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FC1B2C"/>
    <w:pPr>
      <w:ind w:left="566" w:hanging="283"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locked/>
    <w:rsid w:val="001A1942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C1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1B2C"/>
    <w:rPr>
      <w:rFonts w:ascii="Tahoma" w:hAnsi="Tahoma" w:cs="Tahoma"/>
      <w:sz w:val="16"/>
      <w:szCs w:val="16"/>
    </w:rPr>
  </w:style>
  <w:style w:type="paragraph" w:customStyle="1" w:styleId="xl35">
    <w:name w:val="xl35"/>
    <w:basedOn w:val="Normalny"/>
    <w:uiPriority w:val="99"/>
    <w:rsid w:val="00FC1B2C"/>
    <w:pPr>
      <w:spacing w:after="280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link w:val="Tretekstu"/>
    <w:uiPriority w:val="99"/>
    <w:locked/>
    <w:rsid w:val="001A1942"/>
    <w:rPr>
      <w:sz w:val="24"/>
    </w:rPr>
  </w:style>
  <w:style w:type="character" w:styleId="Numerstrony">
    <w:name w:val="page number"/>
    <w:basedOn w:val="Domylnaczcionkaakapitu"/>
    <w:uiPriority w:val="99"/>
    <w:rsid w:val="00FC1B2C"/>
    <w:rPr>
      <w:rFonts w:cs="Times New Roman"/>
    </w:rPr>
  </w:style>
  <w:style w:type="character" w:customStyle="1" w:styleId="ListLabel1">
    <w:name w:val="ListLabel 1"/>
    <w:rsid w:val="001A1942"/>
  </w:style>
  <w:style w:type="paragraph" w:styleId="Nagwek">
    <w:name w:val="header"/>
    <w:basedOn w:val="Normalny"/>
    <w:next w:val="Tretekstu"/>
    <w:link w:val="NagwekZnak"/>
    <w:uiPriority w:val="99"/>
    <w:rsid w:val="001A19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1">
    <w:name w:val="Nagłówek Znak1"/>
    <w:basedOn w:val="Domylnaczcionkaakapitu"/>
    <w:uiPriority w:val="99"/>
    <w:semiHidden/>
    <w:locked/>
    <w:rsid w:val="00FC1B2C"/>
    <w:rPr>
      <w:rFonts w:cs="Times New Roman"/>
      <w:sz w:val="24"/>
      <w:szCs w:val="24"/>
    </w:rPr>
  </w:style>
  <w:style w:type="paragraph" w:customStyle="1" w:styleId="Tretekstu">
    <w:name w:val="Treść tekstu"/>
    <w:basedOn w:val="Normalny"/>
    <w:link w:val="TekstpodstawowyZnak"/>
    <w:uiPriority w:val="99"/>
    <w:rsid w:val="00FC1B2C"/>
    <w:pPr>
      <w:spacing w:after="120" w:line="288" w:lineRule="auto"/>
    </w:pPr>
  </w:style>
  <w:style w:type="paragraph" w:styleId="Lista">
    <w:name w:val="List"/>
    <w:basedOn w:val="Tretekstu"/>
    <w:uiPriority w:val="99"/>
    <w:rsid w:val="001A1942"/>
    <w:rPr>
      <w:rFonts w:cs="Arial"/>
    </w:rPr>
  </w:style>
  <w:style w:type="paragraph" w:styleId="Podpis">
    <w:name w:val="Signature"/>
    <w:basedOn w:val="Normalny"/>
    <w:link w:val="PodpisZnak"/>
    <w:uiPriority w:val="99"/>
    <w:rsid w:val="001A1942"/>
    <w:pPr>
      <w:suppressLineNumbers/>
      <w:spacing w:before="120" w:after="120"/>
    </w:pPr>
    <w:rPr>
      <w:rFonts w:cs="Ari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FC1B2C"/>
    <w:rPr>
      <w:rFonts w:cs="Times New Roman"/>
      <w:sz w:val="24"/>
      <w:szCs w:val="24"/>
    </w:rPr>
  </w:style>
  <w:style w:type="paragraph" w:customStyle="1" w:styleId="Indeks">
    <w:name w:val="Indeks"/>
    <w:basedOn w:val="Normalny"/>
    <w:rsid w:val="001A1942"/>
    <w:pPr>
      <w:suppressLineNumbers/>
    </w:pPr>
    <w:rPr>
      <w:rFonts w:cs="Arial"/>
    </w:rPr>
  </w:style>
  <w:style w:type="paragraph" w:customStyle="1" w:styleId="pkt">
    <w:name w:val="pkt"/>
    <w:basedOn w:val="Normalny"/>
    <w:uiPriority w:val="99"/>
    <w:rsid w:val="00FC1B2C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FC1B2C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FC1B2C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FC1B2C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FC1B2C"/>
    <w:pPr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C1B2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C1B2C"/>
    <w:pPr>
      <w:tabs>
        <w:tab w:val="left" w:pos="-2268"/>
      </w:tabs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C1B2C"/>
    <w:rPr>
      <w:rFonts w:cs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FC1B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1B2C"/>
    <w:rPr>
      <w:rFonts w:cs="Times New Roman"/>
      <w:sz w:val="24"/>
      <w:szCs w:val="24"/>
    </w:rPr>
  </w:style>
  <w:style w:type="paragraph" w:customStyle="1" w:styleId="xl44">
    <w:name w:val="xl44"/>
    <w:basedOn w:val="Normalny"/>
    <w:uiPriority w:val="99"/>
    <w:rsid w:val="00FC1B2C"/>
    <w:pPr>
      <w:pBdr>
        <w:bottom w:val="single" w:sz="8" w:space="0" w:color="00000A"/>
      </w:pBdr>
      <w:spacing w:after="280"/>
      <w:jc w:val="center"/>
    </w:pPr>
    <w:rPr>
      <w:rFonts w:ascii="Verdana" w:hAnsi="Verdana" w:cs="Verdana"/>
      <w:b/>
      <w:bCs/>
    </w:rPr>
  </w:style>
  <w:style w:type="paragraph" w:customStyle="1" w:styleId="Zawartotabeli">
    <w:name w:val="Zawartość tabeli"/>
    <w:basedOn w:val="Normalny"/>
    <w:rsid w:val="00FC1B2C"/>
    <w:pPr>
      <w:suppressLineNumbers/>
    </w:pPr>
    <w:rPr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FC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B670B9"/>
    <w:pPr>
      <w:suppressAutoHyphens w:val="0"/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B670B9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1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Marta Bogusławska-Matusiak</cp:lastModifiedBy>
  <cp:revision>8</cp:revision>
  <cp:lastPrinted>2016-09-23T12:06:00Z</cp:lastPrinted>
  <dcterms:created xsi:type="dcterms:W3CDTF">2021-10-01T08:45:00Z</dcterms:created>
  <dcterms:modified xsi:type="dcterms:W3CDTF">2021-11-08T07:41:00Z</dcterms:modified>
</cp:coreProperties>
</file>