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odczynników laboratoryjnych do celów naukowo-badawczych, zgodnie z </w:t>
      </w:r>
      <w:r w:rsidR="0038742C">
        <w:rPr>
          <w:rFonts w:ascii="Tahoma" w:hAnsi="Tahoma" w:cs="Tahoma"/>
          <w:sz w:val="20"/>
          <w:szCs w:val="20"/>
        </w:rPr>
        <w:t xml:space="preserve">Zapytaniem ofertowym nr </w:t>
      </w:r>
      <w:r w:rsidR="00AE0CD2">
        <w:rPr>
          <w:rFonts w:ascii="Tahoma" w:hAnsi="Tahoma" w:cs="Tahoma"/>
          <w:sz w:val="20"/>
          <w:szCs w:val="20"/>
        </w:rPr>
        <w:t>9</w:t>
      </w:r>
      <w:r w:rsidR="0038742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Odczynniki przeznaczone do zakupu ujęte zostały w Zestawieniu odczynników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Pr="006F47CC">
        <w:rPr>
          <w:rFonts w:ascii="Tahoma" w:hAnsi="Tahoma" w:cs="Tahoma"/>
          <w:sz w:val="20"/>
          <w:szCs w:val="20"/>
        </w:rPr>
        <w:t>odczynniki nieujęte w ww. Zestawieniu, korzystając z ogólnodostępnych katalogów zamieszczonych na stronach internetowych producenta odczynn</w:t>
      </w:r>
      <w:r>
        <w:rPr>
          <w:rFonts w:ascii="Tahoma" w:hAnsi="Tahoma" w:cs="Tahoma"/>
          <w:sz w:val="20"/>
          <w:szCs w:val="20"/>
        </w:rPr>
        <w:t>ika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67717">
        <w:rPr>
          <w:rFonts w:ascii="Tahoma" w:hAnsi="Tahoma" w:cs="Tahoma"/>
          <w:sz w:val="20"/>
          <w:szCs w:val="20"/>
        </w:rPr>
        <w:t xml:space="preserve">Odczynniki będą dostarczane przez </w:t>
      </w:r>
      <w:r>
        <w:rPr>
          <w:rFonts w:ascii="Tahoma" w:hAnsi="Tahoma" w:cs="Tahoma"/>
          <w:sz w:val="20"/>
          <w:szCs w:val="20"/>
        </w:rPr>
        <w:t>Sprzedającego</w:t>
      </w:r>
      <w:r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odczynnika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Pr="00A95AF5">
        <w:rPr>
          <w:rFonts w:ascii="Tahoma" w:hAnsi="Tahoma" w:cs="Tahoma"/>
          <w:sz w:val="20"/>
          <w:szCs w:val="20"/>
        </w:rPr>
        <w:t>odczynnik jest równoważny do odczynnika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odczynników stwierdzających, że zaoferowany odczynnik jest tożsamy z odczynnikiem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lastRenderedPageBreak/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odczynników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odczynniki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>
        <w:rPr>
          <w:rFonts w:ascii="Tahoma" w:hAnsi="Tahoma" w:cs="Tahoma"/>
          <w:sz w:val="20"/>
          <w:szCs w:val="20"/>
        </w:rPr>
        <w:t xml:space="preserve">odczynnika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przez okres </w:t>
      </w:r>
      <w:r>
        <w:rPr>
          <w:rFonts w:ascii="Tahoma" w:hAnsi="Tahoma" w:cs="Tahoma"/>
          <w:sz w:val="20"/>
          <w:szCs w:val="20"/>
        </w:rPr>
        <w:t>12</w:t>
      </w:r>
      <w:r w:rsidRPr="00354BC4">
        <w:rPr>
          <w:rFonts w:ascii="Tahoma" w:hAnsi="Tahoma" w:cs="Tahoma"/>
          <w:sz w:val="20"/>
          <w:szCs w:val="20"/>
        </w:rPr>
        <w:t xml:space="preserve"> miesięcy od daty jej podpisania</w:t>
      </w:r>
      <w:r>
        <w:rPr>
          <w:rFonts w:ascii="Tahoma" w:hAnsi="Tahoma" w:cs="Tahoma"/>
          <w:sz w:val="20"/>
          <w:szCs w:val="20"/>
        </w:rPr>
        <w:t xml:space="preserve"> lub do kwoty brutto ........................ zł, równej cenie (kwota z VAT) z Oferty Sprzedającego</w:t>
      </w:r>
      <w:r w:rsidRPr="00354BC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>wydanie odczynników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odczynników,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odczynnika równoważnego do odczynnika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odczynnik jest równoważny do odczynnika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odczynników stwierdzające, że zaoferowany odczynnik jest tożsamy z odczynnikiem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>wykazać w dowolny sposób, że zaoferowane odczynniki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odczynników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C24B3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342327">
        <w:rPr>
          <w:rFonts w:ascii="Tahoma" w:hAnsi="Tahoma" w:cs="Tahoma"/>
          <w:sz w:val="20"/>
          <w:szCs w:val="20"/>
        </w:rPr>
        <w:t xml:space="preserve"> zobowiązany j</w:t>
      </w:r>
      <w:r w:rsidRPr="00C24B30">
        <w:rPr>
          <w:rFonts w:ascii="Tahoma" w:hAnsi="Tahoma" w:cs="Tahoma"/>
          <w:sz w:val="20"/>
          <w:szCs w:val="20"/>
        </w:rPr>
        <w:t>est wraz z odczynnikiem, kt</w:t>
      </w:r>
      <w:r w:rsidRPr="00C13DBF">
        <w:rPr>
          <w:rFonts w:ascii="Tahoma" w:hAnsi="Tahoma" w:cs="Tahoma"/>
          <w:sz w:val="20"/>
          <w:szCs w:val="20"/>
        </w:rPr>
        <w:t>órego to dotyczy, nieujęt</w:t>
      </w:r>
      <w:r>
        <w:rPr>
          <w:rFonts w:ascii="Tahoma" w:hAnsi="Tahoma" w:cs="Tahoma"/>
          <w:sz w:val="20"/>
          <w:szCs w:val="20"/>
        </w:rPr>
        <w:t xml:space="preserve">ym w załączniku nr </w:t>
      </w:r>
      <w:r w:rsidR="00221DDB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do Umowy a </w:t>
      </w:r>
      <w:r w:rsidRPr="00C13DBF">
        <w:rPr>
          <w:rFonts w:ascii="Tahoma" w:hAnsi="Tahoma" w:cs="Tahoma"/>
          <w:sz w:val="20"/>
          <w:szCs w:val="20"/>
        </w:rPr>
        <w:t xml:space="preserve">zamawianym z katalogu elektronicznego producenta, dostarczyć Karty Charakterystyki substancji i preparatów niebezpiecznych (wersja elektroniczna) lub </w:t>
      </w:r>
      <w:r>
        <w:rPr>
          <w:rFonts w:ascii="Tahoma" w:hAnsi="Tahoma" w:cs="Tahoma"/>
          <w:sz w:val="20"/>
          <w:szCs w:val="20"/>
        </w:rPr>
        <w:t>Sprzedający</w:t>
      </w:r>
      <w:r w:rsidRPr="00C13DBF">
        <w:rPr>
          <w:rFonts w:ascii="Tahoma" w:hAnsi="Tahoma" w:cs="Tahoma"/>
          <w:sz w:val="20"/>
          <w:szCs w:val="20"/>
        </w:rPr>
        <w:t xml:space="preserve"> zapewni Zamawiającemu stały dostęp do kart charakterystyki produktu na swojej stronie internetowej</w:t>
      </w:r>
      <w:r>
        <w:rPr>
          <w:rFonts w:ascii="Tahoma" w:hAnsi="Tahoma" w:cs="Tahoma"/>
          <w:sz w:val="20"/>
          <w:szCs w:val="20"/>
        </w:rPr>
        <w:t>,</w:t>
      </w:r>
      <w:r w:rsidRPr="00C13DBF">
        <w:rPr>
          <w:rFonts w:ascii="Tahoma" w:hAnsi="Tahoma" w:cs="Tahoma"/>
          <w:sz w:val="20"/>
          <w:szCs w:val="20"/>
        </w:rPr>
        <w:t xml:space="preserve"> a na jego żądanie niezwłocznie dostarczy (drogą </w:t>
      </w:r>
      <w:r>
        <w:rPr>
          <w:rFonts w:ascii="Tahoma" w:hAnsi="Tahoma" w:cs="Tahoma"/>
          <w:sz w:val="20"/>
          <w:szCs w:val="20"/>
        </w:rPr>
        <w:t>e-</w:t>
      </w:r>
      <w:r w:rsidRPr="00C13DBF">
        <w:rPr>
          <w:rFonts w:ascii="Tahoma" w:hAnsi="Tahoma" w:cs="Tahoma"/>
          <w:sz w:val="20"/>
          <w:szCs w:val="20"/>
        </w:rPr>
        <w:t>mailową lub w formie wydrukowanej) wymagane dokumenty.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odczynników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odczynników niewłaściwej jakości lub odczynników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>zany jest do odbioru odczynników dostarczonych bez wa</w:t>
      </w:r>
      <w:r>
        <w:rPr>
          <w:rFonts w:ascii="Tahoma" w:hAnsi="Tahoma" w:cs="Tahoma"/>
          <w:sz w:val="20"/>
          <w:szCs w:val="20"/>
        </w:rPr>
        <w:t xml:space="preserve">d, o których mowa w ust </w:t>
      </w:r>
      <w:r w:rsidR="00F44106" w:rsidRPr="00064E6C">
        <w:rPr>
          <w:rFonts w:ascii="Tahoma" w:hAnsi="Tahoma" w:cs="Tahoma"/>
          <w:sz w:val="20"/>
          <w:szCs w:val="20"/>
        </w:rPr>
        <w:t>5</w:t>
      </w:r>
      <w:r w:rsidRPr="00064E6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dostawy dostarczonych odczynników.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odczynników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odczynników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odczynników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odczynnika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3D4112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odczynników,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>przekazania odczynników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odczynnik laboratoryjny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odczynniku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odczynniki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dopuszcza krótszy okres gwarancji niż wskazany powyżej tylko w przypadku, gdy producent udziela na produkt gwarancji krótszej od wymaganej (z załączeniem przez Sprzedającego stosownych dokumentów uzasadniających krótszy termin przydatności odczynnika).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 xml:space="preserve">wysokości 0,5% wartości brutto częściowego zamówienia, za każdy dzień zwłoki liczonej od dnia upłynięcia terminu wymiany, o którym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 wad, o których mowa w §3 ust. </w:t>
      </w:r>
      <w:r w:rsidR="00235C11">
        <w:rPr>
          <w:rFonts w:ascii="Tahoma" w:hAnsi="Tahoma" w:cs="Tahoma"/>
          <w:sz w:val="20"/>
          <w:szCs w:val="20"/>
        </w:rPr>
        <w:t>5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odczynnika rozumie się również dostawę odczynnika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w §3 ust. </w:t>
      </w:r>
      <w:r w:rsidR="005D6D22">
        <w:rPr>
          <w:rFonts w:ascii="Tahoma" w:hAnsi="Tahoma" w:cs="Tahoma"/>
          <w:sz w:val="20"/>
          <w:szCs w:val="20"/>
        </w:rPr>
        <w:t>6</w:t>
      </w:r>
      <w:r w:rsidRPr="00CE13F5">
        <w:rPr>
          <w:rFonts w:ascii="Tahoma" w:hAnsi="Tahoma" w:cs="Tahoma"/>
          <w:sz w:val="20"/>
          <w:szCs w:val="20"/>
        </w:rPr>
        <w:t>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Default="00F1279D" w:rsidP="007E6FD9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3D4112" w:rsidRPr="003D4112" w:rsidRDefault="003D4112" w:rsidP="003D4112">
      <w:pPr>
        <w:widowControl w:val="0"/>
        <w:tabs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</w:t>
      </w:r>
      <w:r w:rsidR="00B85E8C">
        <w:rPr>
          <w:rFonts w:ascii="Tahoma" w:hAnsi="Tahoma" w:cs="Tahoma"/>
          <w:sz w:val="20"/>
          <w:szCs w:val="20"/>
        </w:rPr>
        <w:t>6</w:t>
      </w:r>
      <w:r w:rsidRPr="00916343">
        <w:rPr>
          <w:rFonts w:ascii="Tahoma" w:hAnsi="Tahoma" w:cs="Tahoma"/>
          <w:sz w:val="20"/>
          <w:szCs w:val="20"/>
        </w:rPr>
        <w:t xml:space="preserve">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3D4112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="00F1279D" w:rsidRPr="00F1279D">
        <w:rPr>
          <w:rFonts w:ascii="Tahoma" w:hAnsi="Tahoma" w:cs="Tahoma"/>
          <w:sz w:val="20"/>
          <w:szCs w:val="20"/>
        </w:rPr>
        <w:t>estawienie odczynników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A2B" w:rsidRDefault="00195A2B">
      <w:pPr>
        <w:spacing w:after="0" w:line="240" w:lineRule="auto"/>
      </w:pPr>
      <w:r>
        <w:separator/>
      </w:r>
    </w:p>
  </w:endnote>
  <w:endnote w:type="continuationSeparator" w:id="0">
    <w:p w:rsidR="00195A2B" w:rsidRDefault="00195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746738">
      <w:rPr>
        <w:noProof/>
      </w:rPr>
      <w:t>1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A2B" w:rsidRDefault="00195A2B">
      <w:pPr>
        <w:spacing w:after="0" w:line="240" w:lineRule="auto"/>
      </w:pPr>
      <w:r>
        <w:separator/>
      </w:r>
    </w:p>
  </w:footnote>
  <w:footnote w:type="continuationSeparator" w:id="0">
    <w:p w:rsidR="00195A2B" w:rsidRDefault="00195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64E6C"/>
    <w:rsid w:val="00093D27"/>
    <w:rsid w:val="000C6857"/>
    <w:rsid w:val="00195A2B"/>
    <w:rsid w:val="001A5C5C"/>
    <w:rsid w:val="001B400C"/>
    <w:rsid w:val="001C49A2"/>
    <w:rsid w:val="00221DDB"/>
    <w:rsid w:val="00235C11"/>
    <w:rsid w:val="00290819"/>
    <w:rsid w:val="00290ECE"/>
    <w:rsid w:val="00300CC9"/>
    <w:rsid w:val="00316B91"/>
    <w:rsid w:val="0038742C"/>
    <w:rsid w:val="003968FD"/>
    <w:rsid w:val="003C10ED"/>
    <w:rsid w:val="003D4112"/>
    <w:rsid w:val="00443278"/>
    <w:rsid w:val="0046471A"/>
    <w:rsid w:val="00542C19"/>
    <w:rsid w:val="0058540A"/>
    <w:rsid w:val="005A2EAE"/>
    <w:rsid w:val="005D6D22"/>
    <w:rsid w:val="005E75AD"/>
    <w:rsid w:val="006878FA"/>
    <w:rsid w:val="00712F1A"/>
    <w:rsid w:val="00746738"/>
    <w:rsid w:val="00750CAC"/>
    <w:rsid w:val="007C25C5"/>
    <w:rsid w:val="007E6FD9"/>
    <w:rsid w:val="008654A2"/>
    <w:rsid w:val="009134B0"/>
    <w:rsid w:val="00A51E62"/>
    <w:rsid w:val="00A60F19"/>
    <w:rsid w:val="00A8256E"/>
    <w:rsid w:val="00AC211C"/>
    <w:rsid w:val="00AE0CD2"/>
    <w:rsid w:val="00AF0EC6"/>
    <w:rsid w:val="00B7068A"/>
    <w:rsid w:val="00B85E8C"/>
    <w:rsid w:val="00B951E5"/>
    <w:rsid w:val="00BA1EEC"/>
    <w:rsid w:val="00BC51A8"/>
    <w:rsid w:val="00BE54C4"/>
    <w:rsid w:val="00BF78C6"/>
    <w:rsid w:val="00C34522"/>
    <w:rsid w:val="00C62E48"/>
    <w:rsid w:val="00CC04DA"/>
    <w:rsid w:val="00E17053"/>
    <w:rsid w:val="00E26151"/>
    <w:rsid w:val="00E97736"/>
    <w:rsid w:val="00EA5A90"/>
    <w:rsid w:val="00F1279D"/>
    <w:rsid w:val="00F44106"/>
    <w:rsid w:val="00FA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2208</Words>
  <Characters>13252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2019-09-17T12:41:00Z</dcterms:created>
  <dcterms:modified xsi:type="dcterms:W3CDTF">2019-09-17T12:41:00Z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