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6230BF">
        <w:rPr>
          <w:rFonts w:cstheme="minorHAnsi"/>
          <w:sz w:val="20"/>
          <w:szCs w:val="20"/>
        </w:rPr>
        <w:t xml:space="preserve"> 2</w:t>
      </w:r>
      <w:r w:rsidR="00D53E82">
        <w:rPr>
          <w:rFonts w:cstheme="minorHAnsi"/>
          <w:sz w:val="20"/>
          <w:szCs w:val="20"/>
        </w:rPr>
        <w:t>4</w:t>
      </w:r>
      <w:r w:rsidR="006230BF">
        <w:rPr>
          <w:rFonts w:cstheme="minorHAnsi"/>
          <w:sz w:val="20"/>
          <w:szCs w:val="20"/>
        </w:rPr>
        <w:t>.10.2019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F73C38">
        <w:rPr>
          <w:rFonts w:cstheme="minorHAnsi"/>
          <w:b/>
          <w:bCs/>
          <w:caps/>
          <w:sz w:val="20"/>
          <w:szCs w:val="20"/>
        </w:rPr>
        <w:t>127/2019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na dostawę </w:t>
      </w:r>
      <w:bookmarkStart w:id="0" w:name="_GoBack"/>
      <w:bookmarkEnd w:id="0"/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6230BF" w:rsidRPr="009C74A5" w:rsidRDefault="0095221F" w:rsidP="006230B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Macierzy dyskowej do przechowywania danych naukowych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6230BF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95221F">
        <w:rPr>
          <w:sz w:val="20"/>
          <w:szCs w:val="20"/>
        </w:rPr>
        <w:t xml:space="preserve">Piotr </w:t>
      </w:r>
      <w:proofErr w:type="spellStart"/>
      <w:r w:rsidR="0095221F">
        <w:rPr>
          <w:sz w:val="20"/>
          <w:szCs w:val="20"/>
        </w:rPr>
        <w:t>Redel</w:t>
      </w:r>
      <w:proofErr w:type="spellEnd"/>
    </w:p>
    <w:p w:rsidR="00092BB7" w:rsidRPr="006230BF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6230BF">
        <w:rPr>
          <w:rFonts w:cstheme="minorHAnsi"/>
          <w:sz w:val="20"/>
          <w:szCs w:val="20"/>
          <w:lang w:val="en-US"/>
        </w:rPr>
        <w:t xml:space="preserve">e-mail: </w:t>
      </w:r>
      <w:r w:rsidR="0095221F">
        <w:rPr>
          <w:rStyle w:val="Hipercze"/>
          <w:sz w:val="20"/>
          <w:szCs w:val="20"/>
          <w:lang w:val="en-US"/>
        </w:rPr>
        <w:t>p</w:t>
      </w:r>
      <w:r w:rsidR="006230BF" w:rsidRPr="006230BF">
        <w:rPr>
          <w:rStyle w:val="Hipercze"/>
          <w:sz w:val="20"/>
          <w:szCs w:val="20"/>
          <w:lang w:val="en-US"/>
        </w:rPr>
        <w:t>.</w:t>
      </w:r>
      <w:r w:rsidR="0095221F">
        <w:rPr>
          <w:rStyle w:val="Hipercze"/>
          <w:sz w:val="20"/>
          <w:szCs w:val="20"/>
          <w:lang w:val="en-US"/>
        </w:rPr>
        <w:t>redel</w:t>
      </w:r>
      <w:r w:rsidR="006230BF" w:rsidRPr="006230BF">
        <w:rPr>
          <w:rStyle w:val="Hipercze"/>
          <w:sz w:val="20"/>
          <w:szCs w:val="20"/>
          <w:lang w:val="en-US"/>
        </w:rPr>
        <w:t>@nencki.</w:t>
      </w:r>
      <w:r w:rsidR="0095221F">
        <w:rPr>
          <w:rStyle w:val="Hipercze"/>
          <w:sz w:val="20"/>
          <w:szCs w:val="20"/>
          <w:lang w:val="en-US"/>
        </w:rPr>
        <w:t>gov</w:t>
      </w:r>
      <w:r w:rsidR="006230BF" w:rsidRPr="006230BF">
        <w:rPr>
          <w:rStyle w:val="Hipercze"/>
          <w:sz w:val="20"/>
          <w:szCs w:val="20"/>
          <w:lang w:val="en-US"/>
        </w:rPr>
        <w:t>.pl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6230BF">
        <w:rPr>
          <w:rFonts w:cstheme="minorHAnsi"/>
          <w:b/>
          <w:bCs/>
          <w:sz w:val="20"/>
          <w:szCs w:val="20"/>
        </w:rPr>
        <w:t xml:space="preserve"> </w:t>
      </w:r>
      <w:r w:rsidR="00D53E82">
        <w:rPr>
          <w:b/>
          <w:bCs/>
          <w:sz w:val="20"/>
          <w:szCs w:val="20"/>
        </w:rPr>
        <w:t>08.11</w:t>
      </w:r>
      <w:r w:rsidR="006230BF" w:rsidRPr="006230BF">
        <w:rPr>
          <w:b/>
          <w:bCs/>
          <w:sz w:val="20"/>
          <w:szCs w:val="20"/>
        </w:rPr>
        <w:t>.2019</w:t>
      </w:r>
      <w:r w:rsidRPr="006230BF">
        <w:rPr>
          <w:rFonts w:cstheme="minorHAnsi"/>
          <w:b/>
          <w:bCs/>
          <w:sz w:val="20"/>
          <w:szCs w:val="20"/>
        </w:rPr>
        <w:t xml:space="preserve">,  do godz. </w:t>
      </w:r>
      <w:r w:rsidR="006230BF" w:rsidRPr="006230BF">
        <w:rPr>
          <w:b/>
          <w:bCs/>
          <w:sz w:val="20"/>
          <w:szCs w:val="20"/>
        </w:rPr>
        <w:t>12:00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6230BF" w:rsidRPr="006230BF" w:rsidRDefault="00092BB7" w:rsidP="006230BF">
      <w:pPr>
        <w:autoSpaceDE w:val="0"/>
        <w:autoSpaceDN w:val="0"/>
        <w:adjustRightInd w:val="0"/>
        <w:rPr>
          <w:rFonts w:eastAsia="Calibri"/>
          <w:b/>
          <w:color w:val="000000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Przedmiotem zamówienia jest: </w:t>
      </w:r>
      <w:r w:rsidR="00D53E82">
        <w:rPr>
          <w:rFonts w:eastAsia="Calibri"/>
          <w:b/>
          <w:color w:val="000000"/>
          <w:sz w:val="20"/>
          <w:szCs w:val="20"/>
        </w:rPr>
        <w:t>Macierz dyskowa</w:t>
      </w:r>
      <w:r w:rsidR="0095221F">
        <w:rPr>
          <w:rFonts w:eastAsia="Calibri"/>
          <w:b/>
          <w:color w:val="000000"/>
          <w:sz w:val="20"/>
          <w:szCs w:val="20"/>
        </w:rPr>
        <w:t xml:space="preserve"> do przechowywania danych naukowych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  <w:u w:val="single"/>
        </w:rPr>
      </w:pPr>
      <w:r w:rsidRPr="009561B5">
        <w:rPr>
          <w:rFonts w:eastAsia="Calibri"/>
          <w:color w:val="000000"/>
          <w:sz w:val="20"/>
          <w:szCs w:val="20"/>
          <w:u w:val="single"/>
        </w:rPr>
        <w:t xml:space="preserve">1. Obudowa 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1) Przez macierz dyskową Zamawiający rozumie zestaw dysków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twardych HDD i/lub dysków SSD kontrolowanych przez minimum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pojedynczą parę kontrolerów macierzowych kontrolujących</w:t>
      </w:r>
    </w:p>
    <w:p w:rsidR="008E114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wszystkie zasoby dyskowe macierzy bez korzystania z zewnętrznych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połączeń kablowych pomiędzy dowolnymi kontrolerami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2) Macierz musi posiadać architekturę modułową w zakresie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obudowy dla instalacji kontrolerów oraz obsługiwanych dysków, z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dopuszczeniem współdzielenia jednego z modułów przez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zainstalowane kontrolery i dyski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3) System musi być dostarczony ze wszystkimi komponentami do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 xml:space="preserve">instalacji w standardowej szafie </w:t>
      </w:r>
      <w:proofErr w:type="spellStart"/>
      <w:r w:rsidRPr="009561B5">
        <w:rPr>
          <w:rFonts w:eastAsia="Calibri"/>
          <w:color w:val="000000"/>
          <w:sz w:val="20"/>
          <w:szCs w:val="20"/>
        </w:rPr>
        <w:t>rack</w:t>
      </w:r>
      <w:proofErr w:type="spellEnd"/>
      <w:r w:rsidRPr="009561B5">
        <w:rPr>
          <w:rFonts w:eastAsia="Calibri"/>
          <w:color w:val="000000"/>
          <w:sz w:val="20"/>
          <w:szCs w:val="20"/>
        </w:rPr>
        <w:t xml:space="preserve"> 19” z zajętością maks. 4U w tej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szafie.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4) Każdy skonfigurowany moduł/obudowa musi posiadać układ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nadmiarowy zasilania i chłodzenia zapewniający bezprzerwową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pracę macierzy bez ograniczeń czasowych w przypadku utraty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redundancji w danym układzie (zasilania lub chłodzenia)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5) Obudowa powinna posiadać widoczne elementy sygnalizacyjne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do informowania o stanie poprawnej pracy lub awarii/macierzy.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6) Rozbudowa o dodatkowe moduły dla obsługiwanych dysków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powinna odbywać się wyłącznie poprzez zakup takich modułów bez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konieczności zakupu dodatkowych licencji lub specjalnego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oprogramowania aktywującego proces rozbudowy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7) Moduły dla dalszej rozbudowy o dodatkowe dyski i przestrzeń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dyskową muszą mieć obudowy o zajętości w szafach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przemysłowych standardu 19” nie większej niż 2U przy gęstości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upakowania do 24 dysków 2,5” lub 12 dysków 3,5” oraz nie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większej niż 4U w przypadku modułów tzw. wysokiej gęstości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dedykowanych dla instalacji minimum 50 dysków 3,5”.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8) W przypadku konfiguracji macierzy z dwoma kontrolerami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wszystkie zewnętrzne połączenia kablowe pomiędzy modułami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muszą pozwalać na połączenie kaskadowe jaki i w układzie tzw.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pętli – należy zapewnić minimum 2-torową redundancję takich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połączeń.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9) Połączenia kablowe pomiędzy modułami muszą zapewniać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przepustowość minimum 48Gb/s w ramach pojedynczego połączenia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</w:p>
    <w:p w:rsidR="008E114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  <w:u w:val="single"/>
        </w:rPr>
      </w:pPr>
      <w:r w:rsidRPr="009561B5">
        <w:rPr>
          <w:rFonts w:eastAsia="Calibri"/>
          <w:color w:val="000000"/>
          <w:sz w:val="20"/>
          <w:szCs w:val="20"/>
          <w:u w:val="single"/>
        </w:rPr>
        <w:t xml:space="preserve">2. Pojemność 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1) Model oferowanej macierzy musi obsługiwać min. 262 dyski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wykonane w technologii hot-plug, także w konfiguracji z jednym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kontrolerem w macierzy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2) Model oferowanej macierzy musi obsługiwać przestrzeń dyskową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w trybie surowym (tzw. RAW) minimum 1500 TB bez konieczności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wymiany zainstalowanych kontrolerów – wymagana zgodność z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zapisami w aktualnej na moment składania oferty specyfikacji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technicznej macierzy udostępnionej publicznie na stronie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internetowej producenta lub jego przedstawiciela w Polsce.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lastRenderedPageBreak/>
        <w:t>3) Model oferowanej macierzy musi umożliwiać rozbudowę do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wyższego modelu z tej samej rodziny urządzeń w trybie w „data-in-place” tj. z wykorzystaniem wszystkich modułów półek rozszerzeń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dyskowych wykorzystywanych przed rozbudową i z dostępem do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wcześniej zapisanych,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4) Pojemność użyteczna wszystkich zainstalowanych w macierzy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dysków hot-plug (pojemności wynikające z zastosowanego poziomu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zabezpieczenia RAID dla grup dyskowych) musi być w 100%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dostępna dla zapisu danych użytkownika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5) Macierz zawiera łącznie minimum: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a. 10 dysków 2,5 SAS 3.0 o pojemności minimum 1,8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TB każdy;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b. 10 dysków 3,5 NL-SAS 3.0 o pojemności minimum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8 TB każdy;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</w:p>
    <w:p w:rsidR="008E114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  <w:u w:val="single"/>
        </w:rPr>
      </w:pPr>
      <w:r w:rsidRPr="009561B5">
        <w:rPr>
          <w:rFonts w:eastAsia="Calibri"/>
          <w:color w:val="000000"/>
          <w:sz w:val="20"/>
          <w:szCs w:val="20"/>
          <w:u w:val="single"/>
        </w:rPr>
        <w:t xml:space="preserve">3. Kontrolery 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1) Kontrolery macierzy muszą obsługiwać tryb pracy w układzie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proofErr w:type="spellStart"/>
      <w:r w:rsidRPr="009561B5">
        <w:rPr>
          <w:rFonts w:eastAsia="Calibri"/>
          <w:color w:val="000000"/>
          <w:sz w:val="20"/>
          <w:szCs w:val="20"/>
        </w:rPr>
        <w:t>active-active</w:t>
      </w:r>
      <w:proofErr w:type="spellEnd"/>
      <w:r w:rsidRPr="009561B5">
        <w:rPr>
          <w:rFonts w:eastAsia="Calibri"/>
          <w:color w:val="000000"/>
          <w:sz w:val="20"/>
          <w:szCs w:val="20"/>
        </w:rPr>
        <w:t xml:space="preserve"> lub </w:t>
      </w:r>
      <w:proofErr w:type="spellStart"/>
      <w:r w:rsidRPr="009561B5">
        <w:rPr>
          <w:rFonts w:eastAsia="Calibri"/>
          <w:color w:val="000000"/>
          <w:sz w:val="20"/>
          <w:szCs w:val="20"/>
        </w:rPr>
        <w:t>mesh-active</w:t>
      </w:r>
      <w:proofErr w:type="spellEnd"/>
      <w:r w:rsidRPr="009561B5">
        <w:rPr>
          <w:rFonts w:eastAsia="Calibri"/>
          <w:color w:val="000000"/>
          <w:sz w:val="20"/>
          <w:szCs w:val="20"/>
        </w:rPr>
        <w:t>, macierz musi być dostarczona z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zainstalowanymi minimum 2 kontrolerami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2) Każdy z kontrolerów macierzy musi posiadać po minimum 16GB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pamięci podręcznej Cache – zawartość pamięci Cache z danymi do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zapisu na dyskach musi być identyczna (tzw. cache mirror) dla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wszystkich kontrolerów macierzy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3) Macierz musi obsługiwać rozbudowę pamięci podręcznej cache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dla operacji odczytu do minimum 800GB poprzez instalację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dodatkowych modułów pamięci w kontrolerach lub wykorzystanie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pojemności zainstalowanych dysków SSD,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4) W przypadku awarii zasilania dane nie zapisane na dyski,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przechowywane w pamięci podręcznej Cache dla zapisów muszą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być zabezpieczone metodą trwałego zapisu na dysk lub równoważny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nośnik nie wymagający korzystania z podtrzymania jego zasilania –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tj. bez zasilania zewnętrznego lub bateryjnego.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5) Kontrolery muszą posiadać możliwość ich wymiany (w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przypadku awarii lub planowych zadań utrzymaniowych) bez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konieczności wyłączania zasilania całego urządzenia – wymaganie w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przypadku konfiguracji z min. 2 kontrolerami.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6) Macierz musi obsługiwać wymianę kontrolera RAID bez utraty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danych zapisanych na dyskach w przypadku awarii macierzy z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jednym zainstalowanym kontrolerem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7) Każdy z kontrolerów RAID powinien posiadać dedykowane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minimum 2 interfejsy RJ-45 Ethernet obsługujący połączenia z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prędkością 100Mb/s i 1Gb/s - dla zdalnej komunikacji z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oprogramowaniem zarządzającym i konfiguracyjnym macierzy.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8) Kontrolery macierzy muszą być oparte o procesor wykonany w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technologii wielordzeniowej z minimum 6 rdzeniami,</w:t>
      </w:r>
    </w:p>
    <w:p w:rsidR="008E114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9) Każdy kontroler macierzy musi pozwalać na konfigurację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interfejsów niezbędnych dla współpracy w sieci IP/FC SAN oraz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NAS,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10) Dla obsługi operacji blokowych I/O w sieci IP/FC SAN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kontrolery macierzy muszą wspierać protokoły transmisji: FC,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proofErr w:type="spellStart"/>
      <w:r w:rsidRPr="009561B5">
        <w:rPr>
          <w:rFonts w:eastAsia="Calibri"/>
          <w:color w:val="000000"/>
          <w:sz w:val="20"/>
          <w:szCs w:val="20"/>
        </w:rPr>
        <w:t>iSCSI</w:t>
      </w:r>
      <w:proofErr w:type="spellEnd"/>
      <w:r w:rsidRPr="009561B5">
        <w:rPr>
          <w:rFonts w:eastAsia="Calibri"/>
          <w:color w:val="000000"/>
          <w:sz w:val="20"/>
          <w:szCs w:val="20"/>
        </w:rPr>
        <w:t>, SAS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11) Dla obsługi operacji plikowych I/O w sieci NAS Ethernet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kontrolery macierzy muszą wspierać minimum protokoły dostępu: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CIFS, NFS.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12) Uruchomienie obsługi protokołów CIFS i NFS nie może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powodować zmniejszenia rozmiaru pamięci podręcznej cache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wykorzystywanej przez macierz do obsługi protokołów blokowych –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wymagane jest skonfigurowanie dodatkowo minimum po 8GB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pamięci podręcznej Cache dla każdego kontrolera lub dodatkowo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jednej grupy dyskowej z dyskami SAS SSD 200GB zabezpieczonej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poziomem RAID10.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13) Kontrolery macierzy muszą obsługiwać do 132 grup dyskowych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w całym rozwiązaniu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14) Macierz musi być wyposażona w nadmiarowe mechanizmy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badania integralności składowanych danych.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</w:p>
    <w:p w:rsidR="008E114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  <w:u w:val="single"/>
        </w:rPr>
      </w:pPr>
      <w:r w:rsidRPr="009561B5">
        <w:rPr>
          <w:rFonts w:eastAsia="Calibri"/>
          <w:color w:val="000000"/>
          <w:sz w:val="20"/>
          <w:szCs w:val="20"/>
          <w:u w:val="single"/>
        </w:rPr>
        <w:t xml:space="preserve">4. Interfejsy 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1) Oferowana macierz musi mieć minimum 4 porty FC 32Gb/s oraz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 xml:space="preserve">4 porty </w:t>
      </w:r>
      <w:proofErr w:type="spellStart"/>
      <w:r w:rsidRPr="009561B5">
        <w:rPr>
          <w:rFonts w:eastAsia="Calibri"/>
          <w:color w:val="000000"/>
          <w:sz w:val="20"/>
          <w:szCs w:val="20"/>
        </w:rPr>
        <w:t>iSCSI</w:t>
      </w:r>
      <w:proofErr w:type="spellEnd"/>
      <w:r w:rsidRPr="009561B5">
        <w:rPr>
          <w:rFonts w:eastAsia="Calibri"/>
          <w:color w:val="000000"/>
          <w:sz w:val="20"/>
          <w:szCs w:val="20"/>
        </w:rPr>
        <w:t xml:space="preserve"> 10Gb/s SFP+,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2) Macierz musi umożliwiać wymianę portów do transmisji danych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na porty obsługujące protokoły: SAS 12Gb/s, FC 8Gb/s, FC 16Gb/s,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proofErr w:type="spellStart"/>
      <w:r w:rsidRPr="009561B5">
        <w:rPr>
          <w:rFonts w:eastAsia="Calibri"/>
          <w:color w:val="000000"/>
          <w:sz w:val="20"/>
          <w:szCs w:val="20"/>
        </w:rPr>
        <w:t>iSCSI</w:t>
      </w:r>
      <w:proofErr w:type="spellEnd"/>
      <w:r w:rsidRPr="009561B5">
        <w:rPr>
          <w:rFonts w:eastAsia="Calibri"/>
          <w:color w:val="000000"/>
          <w:sz w:val="20"/>
          <w:szCs w:val="20"/>
        </w:rPr>
        <w:t xml:space="preserve"> 1 </w:t>
      </w:r>
      <w:proofErr w:type="spellStart"/>
      <w:r w:rsidRPr="009561B5">
        <w:rPr>
          <w:rFonts w:eastAsia="Calibri"/>
          <w:color w:val="000000"/>
          <w:sz w:val="20"/>
          <w:szCs w:val="20"/>
        </w:rPr>
        <w:t>Gb</w:t>
      </w:r>
      <w:proofErr w:type="spellEnd"/>
      <w:r w:rsidRPr="009561B5">
        <w:rPr>
          <w:rFonts w:eastAsia="Calibri"/>
          <w:color w:val="000000"/>
          <w:sz w:val="20"/>
          <w:szCs w:val="20"/>
        </w:rPr>
        <w:t>/s,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3) Wymiana portów jak w pkt.2 nie może powodować wymiany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samych kontrolerów RAID w oferowanym rozwiązaniu, w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przypadku konieczność licencjonowania tej funkcjonalności macierz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ma być dostarczona z aktywną licencja na instalację i obsługę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każdego z wymienionych protokołów transmisji danych.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4) ) Dla obsługi protokołów NFS i CIFS model oferowanej macierzy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musi pozwalać na instalację minimum 4 interfejsów Ethernet 10Gb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bądź minimum 8 portów Ethernet 1Gb/s – porty muszą być</w:t>
      </w:r>
    </w:p>
    <w:p w:rsidR="0095221F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wyprowadzone na kontrolerach macierzy,</w:t>
      </w:r>
    </w:p>
    <w:p w:rsidR="009561B5" w:rsidRPr="009561B5" w:rsidRDefault="009561B5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  <w:u w:val="single"/>
        </w:rPr>
      </w:pPr>
      <w:r w:rsidRPr="009561B5">
        <w:rPr>
          <w:rFonts w:eastAsia="Calibri"/>
          <w:color w:val="000000"/>
          <w:sz w:val="20"/>
          <w:szCs w:val="20"/>
          <w:u w:val="single"/>
        </w:rPr>
        <w:t>5. Poziomy</w:t>
      </w:r>
      <w:r w:rsidR="008E114F" w:rsidRPr="009561B5">
        <w:rPr>
          <w:rFonts w:eastAsia="Calibri"/>
          <w:color w:val="000000"/>
          <w:sz w:val="20"/>
          <w:szCs w:val="20"/>
          <w:u w:val="single"/>
        </w:rPr>
        <w:t xml:space="preserve"> </w:t>
      </w:r>
      <w:r w:rsidRPr="009561B5">
        <w:rPr>
          <w:rFonts w:eastAsia="Calibri"/>
          <w:color w:val="000000"/>
          <w:sz w:val="20"/>
          <w:szCs w:val="20"/>
          <w:u w:val="single"/>
        </w:rPr>
        <w:t>RAID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lastRenderedPageBreak/>
        <w:t>Macierz musi zapewniać poziom zabezpieczenia danych na dyskach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definiowany poziomami RAID: 0, 1 ,1+0, 5 , 50, 6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  <w:u w:val="single"/>
        </w:rPr>
      </w:pPr>
      <w:r w:rsidRPr="009561B5">
        <w:rPr>
          <w:rFonts w:eastAsia="Calibri"/>
          <w:color w:val="000000"/>
          <w:sz w:val="20"/>
          <w:szCs w:val="20"/>
          <w:u w:val="single"/>
        </w:rPr>
        <w:t>6. Wspierane</w:t>
      </w:r>
      <w:r w:rsidR="008E114F" w:rsidRPr="009561B5">
        <w:rPr>
          <w:rFonts w:eastAsia="Calibri"/>
          <w:color w:val="000000"/>
          <w:sz w:val="20"/>
          <w:szCs w:val="20"/>
          <w:u w:val="single"/>
        </w:rPr>
        <w:t xml:space="preserve"> </w:t>
      </w:r>
      <w:r w:rsidRPr="009561B5">
        <w:rPr>
          <w:rFonts w:eastAsia="Calibri"/>
          <w:color w:val="000000"/>
          <w:sz w:val="20"/>
          <w:szCs w:val="20"/>
          <w:u w:val="single"/>
        </w:rPr>
        <w:t>dyski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1) wszystkie dyski wspierane przez oferowany model macierzy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muszą być wykonane w technologii hot-plug i posiadać podwójne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 xml:space="preserve">porty SAS obsługujące tryb pracy </w:t>
      </w:r>
      <w:proofErr w:type="spellStart"/>
      <w:r w:rsidRPr="009561B5">
        <w:rPr>
          <w:rFonts w:eastAsia="Calibri"/>
          <w:color w:val="000000"/>
          <w:sz w:val="20"/>
          <w:szCs w:val="20"/>
        </w:rPr>
        <w:t>full</w:t>
      </w:r>
      <w:proofErr w:type="spellEnd"/>
      <w:r w:rsidRPr="009561B5">
        <w:rPr>
          <w:rFonts w:eastAsia="Calibri"/>
          <w:color w:val="000000"/>
          <w:sz w:val="20"/>
          <w:szCs w:val="20"/>
        </w:rPr>
        <w:t>-duplex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2) Oferowana macierz musi wspierać dyski hot-plug: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- dyski elektroniczne SSD SAS o pojemności min. 400GB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- dyski mechaniczne HDD SAS o pojemności min. 300GB i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 xml:space="preserve">prędkości obrotowej 15k </w:t>
      </w:r>
      <w:proofErr w:type="spellStart"/>
      <w:r w:rsidRPr="009561B5">
        <w:rPr>
          <w:rFonts w:eastAsia="Calibri"/>
          <w:color w:val="000000"/>
          <w:sz w:val="20"/>
          <w:szCs w:val="20"/>
        </w:rPr>
        <w:t>rpm</w:t>
      </w:r>
      <w:proofErr w:type="spellEnd"/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- dyski mechaniczne HDD SAS o pojemności min. 300GB i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 xml:space="preserve">prędkości obrotowej 10k </w:t>
      </w:r>
      <w:proofErr w:type="spellStart"/>
      <w:r w:rsidRPr="009561B5">
        <w:rPr>
          <w:rFonts w:eastAsia="Calibri"/>
          <w:color w:val="000000"/>
          <w:sz w:val="20"/>
          <w:szCs w:val="20"/>
        </w:rPr>
        <w:t>rpm</w:t>
      </w:r>
      <w:proofErr w:type="spellEnd"/>
      <w:r w:rsidRPr="009561B5">
        <w:rPr>
          <w:rFonts w:eastAsia="Calibri"/>
          <w:color w:val="000000"/>
          <w:sz w:val="20"/>
          <w:szCs w:val="20"/>
        </w:rPr>
        <w:t>,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- dyski mechaniczne HDD NLSAS o pojemności min. 1TB i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 xml:space="preserve">prędkości obrotowej min. 7,2k </w:t>
      </w:r>
      <w:proofErr w:type="spellStart"/>
      <w:r w:rsidRPr="009561B5">
        <w:rPr>
          <w:rFonts w:eastAsia="Calibri"/>
          <w:color w:val="000000"/>
          <w:sz w:val="20"/>
          <w:szCs w:val="20"/>
        </w:rPr>
        <w:t>krpm</w:t>
      </w:r>
      <w:proofErr w:type="spellEnd"/>
      <w:r w:rsidRPr="009561B5">
        <w:rPr>
          <w:rFonts w:eastAsia="Calibri"/>
          <w:color w:val="000000"/>
          <w:sz w:val="20"/>
          <w:szCs w:val="20"/>
        </w:rPr>
        <w:t>,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3) Macierz musi obsługiwać dyski hot-plug SSD i HDD wyposażone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w porty SAS 12Gb/s zainstalowane w dowolnym module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rozwiązania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4) Model macierzy musi pozwalać na instalację dysków hot-plug w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formacie 2,5” i 3,5”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5) Macierz musi obsługiwać min. 48 dysków SAS SSD w całym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rozwiązaniu,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6) Macierz musi wspierać mieszaną konfigurację dysków SAS,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proofErr w:type="spellStart"/>
      <w:r w:rsidRPr="009561B5">
        <w:rPr>
          <w:rFonts w:eastAsia="Calibri"/>
          <w:color w:val="000000"/>
          <w:sz w:val="20"/>
          <w:szCs w:val="20"/>
        </w:rPr>
        <w:t>NearLine</w:t>
      </w:r>
      <w:proofErr w:type="spellEnd"/>
      <w:r w:rsidRPr="009561B5">
        <w:rPr>
          <w:rFonts w:eastAsia="Calibri"/>
          <w:color w:val="000000"/>
          <w:sz w:val="20"/>
          <w:szCs w:val="20"/>
        </w:rPr>
        <w:t>-SAS i SSD w obrębie każdego pojedynczego modułu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obudowy pozwalającego na instalacje dysków hot-plug.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7) Macierz musi wspierać technologię energooszczędne typu Drive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Spin Down lub wyłączanie dysków nieaktywnych w trybie ręcznym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i automatycznym z wykorzystaniem mechanizmu typu ‘</w:t>
      </w:r>
      <w:proofErr w:type="spellStart"/>
      <w:r w:rsidRPr="009561B5">
        <w:rPr>
          <w:rFonts w:eastAsia="Calibri"/>
          <w:color w:val="000000"/>
          <w:sz w:val="20"/>
          <w:szCs w:val="20"/>
        </w:rPr>
        <w:t>time</w:t>
      </w:r>
      <w:proofErr w:type="spellEnd"/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proofErr w:type="spellStart"/>
      <w:r w:rsidRPr="009561B5">
        <w:rPr>
          <w:rFonts w:eastAsia="Calibri"/>
          <w:color w:val="000000"/>
          <w:sz w:val="20"/>
          <w:szCs w:val="20"/>
        </w:rPr>
        <w:t>scheduler</w:t>
      </w:r>
      <w:proofErr w:type="spellEnd"/>
      <w:r w:rsidRPr="009561B5">
        <w:rPr>
          <w:rFonts w:eastAsia="Calibri"/>
          <w:color w:val="000000"/>
          <w:sz w:val="20"/>
          <w:szCs w:val="20"/>
        </w:rPr>
        <w:t>’ czyli w zadanym i/lub powtarzalnym oknie czasowym.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8) Macierz musi umożliwiać skonfigurowanie każdego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zainstalowanego dysku hot-plug jako dysk hot-</w:t>
      </w:r>
      <w:proofErr w:type="spellStart"/>
      <w:r w:rsidRPr="009561B5">
        <w:rPr>
          <w:rFonts w:eastAsia="Calibri"/>
          <w:color w:val="000000"/>
          <w:sz w:val="20"/>
          <w:szCs w:val="20"/>
        </w:rPr>
        <w:t>spare</w:t>
      </w:r>
      <w:proofErr w:type="spellEnd"/>
      <w:r w:rsidRPr="009561B5">
        <w:rPr>
          <w:rFonts w:eastAsia="Calibri"/>
          <w:color w:val="000000"/>
          <w:sz w:val="20"/>
          <w:szCs w:val="20"/>
        </w:rPr>
        <w:t xml:space="preserve"> (dysk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zapasowy) w trybach: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- hot-</w:t>
      </w:r>
      <w:proofErr w:type="spellStart"/>
      <w:r w:rsidRPr="009561B5">
        <w:rPr>
          <w:rFonts w:eastAsia="Calibri"/>
          <w:color w:val="000000"/>
          <w:sz w:val="20"/>
          <w:szCs w:val="20"/>
        </w:rPr>
        <w:t>spare</w:t>
      </w:r>
      <w:proofErr w:type="spellEnd"/>
      <w:r w:rsidRPr="009561B5">
        <w:rPr>
          <w:rFonts w:eastAsia="Calibri"/>
          <w:color w:val="000000"/>
          <w:sz w:val="20"/>
          <w:szCs w:val="20"/>
        </w:rPr>
        <w:t xml:space="preserve"> dedykowany dla zabezpieczenia tylko wybranej grupy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dyskowej RAID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- hot-</w:t>
      </w:r>
      <w:proofErr w:type="spellStart"/>
      <w:r w:rsidRPr="009561B5">
        <w:rPr>
          <w:rFonts w:eastAsia="Calibri"/>
          <w:color w:val="000000"/>
          <w:sz w:val="20"/>
          <w:szCs w:val="20"/>
        </w:rPr>
        <w:t>spare</w:t>
      </w:r>
      <w:proofErr w:type="spellEnd"/>
      <w:r w:rsidRPr="009561B5">
        <w:rPr>
          <w:rFonts w:eastAsia="Calibri"/>
          <w:color w:val="000000"/>
          <w:sz w:val="20"/>
          <w:szCs w:val="20"/>
        </w:rPr>
        <w:t xml:space="preserve"> dla zabezpieczenia dowolnej grupy dyskowej RAID.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9) W przypadku awarii dysku fizycznego i wykorzystania wcześniej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skonfigurowanego dysku zapasowego wymiana uszkodzonego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dysku na sprawny nie może powodować powrotnego kopiowania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danych z dysku hot-</w:t>
      </w:r>
      <w:proofErr w:type="spellStart"/>
      <w:r w:rsidRPr="009561B5">
        <w:rPr>
          <w:rFonts w:eastAsia="Calibri"/>
          <w:color w:val="000000"/>
          <w:sz w:val="20"/>
          <w:szCs w:val="20"/>
        </w:rPr>
        <w:t>spare</w:t>
      </w:r>
      <w:proofErr w:type="spellEnd"/>
      <w:r w:rsidRPr="009561B5">
        <w:rPr>
          <w:rFonts w:eastAsia="Calibri"/>
          <w:color w:val="000000"/>
          <w:sz w:val="20"/>
          <w:szCs w:val="20"/>
        </w:rPr>
        <w:t xml:space="preserve"> na wymieniony dysk (tzw. </w:t>
      </w:r>
      <w:proofErr w:type="spellStart"/>
      <w:r w:rsidRPr="009561B5">
        <w:rPr>
          <w:rFonts w:eastAsia="Calibri"/>
          <w:color w:val="000000"/>
          <w:sz w:val="20"/>
          <w:szCs w:val="20"/>
        </w:rPr>
        <w:t>CopyBackLess</w:t>
      </w:r>
      <w:proofErr w:type="spellEnd"/>
      <w:r w:rsidRPr="009561B5">
        <w:rPr>
          <w:rFonts w:eastAsia="Calibri"/>
          <w:color w:val="000000"/>
          <w:sz w:val="20"/>
          <w:szCs w:val="20"/>
        </w:rPr>
        <w:t>)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  <w:u w:val="single"/>
        </w:rPr>
      </w:pPr>
      <w:r w:rsidRPr="009561B5">
        <w:rPr>
          <w:rFonts w:eastAsia="Calibri"/>
          <w:color w:val="000000"/>
          <w:sz w:val="20"/>
          <w:szCs w:val="20"/>
          <w:u w:val="single"/>
        </w:rPr>
        <w:t>7. Opcje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software’owe 1)Macierz musi być wyposażona w system kopii migawkowych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umożliwiających wykonanie minimum 2048 kopii migawkowych –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jeżeli funkcjonalność ta wymaga zakupu licencji to należy je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dostarczyć w wa</w:t>
      </w:r>
      <w:r w:rsidR="000D5D43" w:rsidRPr="009561B5">
        <w:rPr>
          <w:rFonts w:eastAsia="Calibri"/>
          <w:color w:val="000000"/>
          <w:sz w:val="20"/>
          <w:szCs w:val="20"/>
        </w:rPr>
        <w:t>riancie dla maksymalnej pojemnoś</w:t>
      </w:r>
      <w:r w:rsidRPr="009561B5">
        <w:rPr>
          <w:rFonts w:eastAsia="Calibri"/>
          <w:color w:val="000000"/>
          <w:sz w:val="20"/>
          <w:szCs w:val="20"/>
        </w:rPr>
        <w:t>ci dyskowej dla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oferowanej macierzy</w:t>
      </w:r>
    </w:p>
    <w:p w:rsidR="008E114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2) Macierz musi umożliwiać zdefiniowanie min. 4096 woluminów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(LUN)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3) Macierz powinna umożliwiać podłączenie logiczne z serwerami i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stacjami poprzez min. 1024 ścieżek logicznych FC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4) Dostarczone rozwiązanie musi umożliwiać szyfrowanie danych na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zainstalowanych dyskach. Jeżeli funkcjonalność ta wymaga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dodatkowych elementów sprzętowych bądź aktywacji dodatkowej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licencji należy dostarczyć je wraz z rozwiązaniem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5) Macierz musi umożliwiać aktualizację oprogramowania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wewnętrznego i kontrolerów RAID i dysków bez konieczności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wyłączania macierzy i bez konieczności wyłączania ścieżek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logicznych FC/</w:t>
      </w:r>
      <w:proofErr w:type="spellStart"/>
      <w:r w:rsidRPr="009561B5">
        <w:rPr>
          <w:rFonts w:eastAsia="Calibri"/>
          <w:color w:val="000000"/>
          <w:sz w:val="20"/>
          <w:szCs w:val="20"/>
        </w:rPr>
        <w:t>iSCSI</w:t>
      </w:r>
      <w:proofErr w:type="spellEnd"/>
      <w:r w:rsidRPr="009561B5">
        <w:rPr>
          <w:rFonts w:eastAsia="Calibri"/>
          <w:color w:val="000000"/>
          <w:sz w:val="20"/>
          <w:szCs w:val="20"/>
        </w:rPr>
        <w:t>/</w:t>
      </w:r>
      <w:proofErr w:type="spellStart"/>
      <w:r w:rsidRPr="009561B5">
        <w:rPr>
          <w:rFonts w:eastAsia="Calibri"/>
          <w:color w:val="000000"/>
          <w:sz w:val="20"/>
          <w:szCs w:val="20"/>
        </w:rPr>
        <w:t>FCoE</w:t>
      </w:r>
      <w:proofErr w:type="spellEnd"/>
      <w:r w:rsidRPr="009561B5">
        <w:rPr>
          <w:rFonts w:eastAsia="Calibri"/>
          <w:color w:val="000000"/>
          <w:sz w:val="20"/>
          <w:szCs w:val="20"/>
        </w:rPr>
        <w:t xml:space="preserve"> dla podłączonych stacji/serwerów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6) Macierz musi umożliwiać dokonywanie w trybie on-line (tj. bez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wyłączania zasilania i bez przerywania przetwarzania danych w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macierzy) operacje: powiększanie grup dyskowych, zwiększanie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 xml:space="preserve">rozmiaru woluminu, alokowanie woluminu na inną </w:t>
      </w:r>
      <w:proofErr w:type="spellStart"/>
      <w:r w:rsidRPr="009561B5">
        <w:rPr>
          <w:rFonts w:eastAsia="Calibri"/>
          <w:color w:val="000000"/>
          <w:sz w:val="20"/>
          <w:szCs w:val="20"/>
        </w:rPr>
        <w:t>grupe</w:t>
      </w:r>
      <w:proofErr w:type="spellEnd"/>
      <w:r w:rsidRPr="009561B5">
        <w:rPr>
          <w:rFonts w:eastAsia="Calibri"/>
          <w:color w:val="000000"/>
          <w:sz w:val="20"/>
          <w:szCs w:val="20"/>
        </w:rPr>
        <w:t xml:space="preserve"> dyskową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 xml:space="preserve">7) Macierz musi </w:t>
      </w:r>
      <w:proofErr w:type="spellStart"/>
      <w:r w:rsidRPr="009561B5">
        <w:rPr>
          <w:rFonts w:eastAsia="Calibri"/>
          <w:color w:val="000000"/>
          <w:sz w:val="20"/>
          <w:szCs w:val="20"/>
        </w:rPr>
        <w:t>posiadac</w:t>
      </w:r>
      <w:proofErr w:type="spellEnd"/>
      <w:r w:rsidRPr="009561B5">
        <w:rPr>
          <w:rFonts w:eastAsia="Calibri"/>
          <w:color w:val="000000"/>
          <w:sz w:val="20"/>
          <w:szCs w:val="20"/>
        </w:rPr>
        <w:t xml:space="preserve"> wsparcie dla systemów operacyjnych : MS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 xml:space="preserve">Windows Server 2008/2012, </w:t>
      </w:r>
      <w:proofErr w:type="spellStart"/>
      <w:r w:rsidRPr="009561B5">
        <w:rPr>
          <w:rFonts w:eastAsia="Calibri"/>
          <w:color w:val="000000"/>
          <w:sz w:val="20"/>
          <w:szCs w:val="20"/>
        </w:rPr>
        <w:t>SuSE</w:t>
      </w:r>
      <w:proofErr w:type="spellEnd"/>
      <w:r w:rsidRPr="009561B5">
        <w:rPr>
          <w:rFonts w:eastAsia="Calibri"/>
          <w:color w:val="000000"/>
          <w:sz w:val="20"/>
          <w:szCs w:val="20"/>
        </w:rPr>
        <w:t xml:space="preserve"> Linux, Oracle Linux, Oracle VM,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proofErr w:type="spellStart"/>
      <w:r w:rsidRPr="009561B5">
        <w:rPr>
          <w:rFonts w:eastAsia="Calibri"/>
          <w:color w:val="000000"/>
          <w:sz w:val="20"/>
          <w:szCs w:val="20"/>
        </w:rPr>
        <w:t>RedHat</w:t>
      </w:r>
      <w:proofErr w:type="spellEnd"/>
      <w:r w:rsidRPr="009561B5">
        <w:rPr>
          <w:rFonts w:eastAsia="Calibri"/>
          <w:color w:val="000000"/>
          <w:sz w:val="20"/>
          <w:szCs w:val="20"/>
        </w:rPr>
        <w:t xml:space="preserve"> Linux, HP-UNIX, IBM AIX, SUN Solaris, </w:t>
      </w:r>
      <w:proofErr w:type="spellStart"/>
      <w:r w:rsidRPr="009561B5">
        <w:rPr>
          <w:rFonts w:eastAsia="Calibri"/>
          <w:color w:val="000000"/>
          <w:sz w:val="20"/>
          <w:szCs w:val="20"/>
        </w:rPr>
        <w:t>VMWare</w:t>
      </w:r>
      <w:proofErr w:type="spellEnd"/>
      <w:r w:rsidRPr="009561B5">
        <w:rPr>
          <w:rFonts w:eastAsia="Calibri"/>
          <w:color w:val="000000"/>
          <w:sz w:val="20"/>
          <w:szCs w:val="20"/>
        </w:rPr>
        <w:t xml:space="preserve"> , </w:t>
      </w:r>
      <w:proofErr w:type="spellStart"/>
      <w:r w:rsidRPr="009561B5">
        <w:rPr>
          <w:rFonts w:eastAsia="Calibri"/>
          <w:color w:val="000000"/>
          <w:sz w:val="20"/>
          <w:szCs w:val="20"/>
        </w:rPr>
        <w:t>Citrix</w:t>
      </w:r>
      <w:proofErr w:type="spellEnd"/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XEN Server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8) Macierz musi być dostarczona z licencją na oprogramowanie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 xml:space="preserve">wspierające technologię typu </w:t>
      </w:r>
      <w:proofErr w:type="spellStart"/>
      <w:r w:rsidRPr="009561B5">
        <w:rPr>
          <w:rFonts w:eastAsia="Calibri"/>
          <w:color w:val="000000"/>
          <w:sz w:val="20"/>
          <w:szCs w:val="20"/>
        </w:rPr>
        <w:t>multipath</w:t>
      </w:r>
      <w:proofErr w:type="spellEnd"/>
      <w:r w:rsidRPr="009561B5">
        <w:rPr>
          <w:rFonts w:eastAsia="Calibri"/>
          <w:color w:val="000000"/>
          <w:sz w:val="20"/>
          <w:szCs w:val="20"/>
        </w:rPr>
        <w:t xml:space="preserve"> (obsługa nadmiarowości dla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ścieżek transmisji danych pomiędzy macierzą i serwerem) dla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 xml:space="preserve">połączeń FC i </w:t>
      </w:r>
      <w:proofErr w:type="spellStart"/>
      <w:r w:rsidRPr="009561B5">
        <w:rPr>
          <w:rFonts w:eastAsia="Calibri"/>
          <w:color w:val="000000"/>
          <w:sz w:val="20"/>
          <w:szCs w:val="20"/>
        </w:rPr>
        <w:t>iSCSI</w:t>
      </w:r>
      <w:proofErr w:type="spellEnd"/>
      <w:r w:rsidRPr="009561B5">
        <w:rPr>
          <w:rFonts w:eastAsia="Calibri"/>
          <w:color w:val="000000"/>
          <w:sz w:val="20"/>
          <w:szCs w:val="20"/>
        </w:rPr>
        <w:t>.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9) Macierz musi obsługiwać woluminy logiczne o maksymalnej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pojemności min. 128TB.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10) Macierz musi posiadać możliwość uruchamiania mechanizmów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zdalnej replikacji danych, w trybie synchronicznym i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 xml:space="preserve">asynchronicznym, po protokołach FC oraz </w:t>
      </w:r>
      <w:proofErr w:type="spellStart"/>
      <w:r w:rsidRPr="009561B5">
        <w:rPr>
          <w:rFonts w:eastAsia="Calibri"/>
          <w:color w:val="000000"/>
          <w:sz w:val="20"/>
          <w:szCs w:val="20"/>
        </w:rPr>
        <w:t>iSCSI</w:t>
      </w:r>
      <w:proofErr w:type="spellEnd"/>
      <w:r w:rsidRPr="009561B5">
        <w:rPr>
          <w:rFonts w:eastAsia="Calibri"/>
          <w:color w:val="000000"/>
          <w:sz w:val="20"/>
          <w:szCs w:val="20"/>
        </w:rPr>
        <w:t xml:space="preserve"> i bez konieczności</w:t>
      </w:r>
      <w:r w:rsidR="000D5D43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stosowania zewnętrznych urządzeń konwersji wymienionych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protokołów transmisji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11) Funkcjonalność replikacji danych musi być zapewniona z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poziomu oprogramowania wewnętrznego macierzy, jako tzw.</w:t>
      </w:r>
      <w:r w:rsidR="008E114F" w:rsidRPr="009561B5">
        <w:rPr>
          <w:rFonts w:eastAsia="Calibri"/>
          <w:color w:val="000000"/>
          <w:sz w:val="20"/>
          <w:szCs w:val="20"/>
        </w:rPr>
        <w:t xml:space="preserve"> </w:t>
      </w:r>
      <w:proofErr w:type="spellStart"/>
      <w:r w:rsidRPr="009561B5">
        <w:rPr>
          <w:rFonts w:eastAsia="Calibri"/>
          <w:color w:val="000000"/>
          <w:sz w:val="20"/>
          <w:szCs w:val="20"/>
        </w:rPr>
        <w:t>storage-based</w:t>
      </w:r>
      <w:proofErr w:type="spellEnd"/>
      <w:r w:rsidRPr="009561B5">
        <w:rPr>
          <w:rFonts w:eastAsia="Calibri"/>
          <w:color w:val="000000"/>
          <w:sz w:val="20"/>
          <w:szCs w:val="20"/>
        </w:rPr>
        <w:t xml:space="preserve"> data </w:t>
      </w:r>
      <w:proofErr w:type="spellStart"/>
      <w:r w:rsidRPr="009561B5">
        <w:rPr>
          <w:rFonts w:eastAsia="Calibri"/>
          <w:color w:val="000000"/>
          <w:sz w:val="20"/>
          <w:szCs w:val="20"/>
        </w:rPr>
        <w:t>replication</w:t>
      </w:r>
      <w:proofErr w:type="spellEnd"/>
      <w:r w:rsidRPr="009561B5">
        <w:rPr>
          <w:rFonts w:eastAsia="Calibri"/>
          <w:color w:val="000000"/>
          <w:sz w:val="20"/>
          <w:szCs w:val="20"/>
        </w:rPr>
        <w:t>.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12) Replikacja danych jak w pkt.10 musi być obsługiwana w</w:t>
      </w:r>
      <w:r w:rsidR="000D5D43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połączeniu z każdą macierzą z tej samej rodziny urządzeń</w:t>
      </w:r>
      <w:r w:rsidR="000D5D43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wspierającą obsługę zdalnej replikacji danych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 xml:space="preserve">13) Macierz musi obsługiwać </w:t>
      </w:r>
      <w:proofErr w:type="spellStart"/>
      <w:r w:rsidRPr="009561B5">
        <w:rPr>
          <w:rFonts w:eastAsia="Calibri"/>
          <w:color w:val="000000"/>
          <w:sz w:val="20"/>
          <w:szCs w:val="20"/>
        </w:rPr>
        <w:t>QoS</w:t>
      </w:r>
      <w:proofErr w:type="spellEnd"/>
      <w:r w:rsidRPr="009561B5">
        <w:rPr>
          <w:rFonts w:eastAsia="Calibri"/>
          <w:color w:val="000000"/>
          <w:sz w:val="20"/>
          <w:szCs w:val="20"/>
        </w:rPr>
        <w:t xml:space="preserve"> (</w:t>
      </w:r>
      <w:proofErr w:type="spellStart"/>
      <w:r w:rsidRPr="009561B5">
        <w:rPr>
          <w:rFonts w:eastAsia="Calibri"/>
          <w:color w:val="000000"/>
          <w:sz w:val="20"/>
          <w:szCs w:val="20"/>
        </w:rPr>
        <w:t>Quality</w:t>
      </w:r>
      <w:proofErr w:type="spellEnd"/>
      <w:r w:rsidRPr="009561B5">
        <w:rPr>
          <w:rFonts w:eastAsia="Calibri"/>
          <w:color w:val="000000"/>
          <w:sz w:val="20"/>
          <w:szCs w:val="20"/>
        </w:rPr>
        <w:t xml:space="preserve"> of Services) czyli</w:t>
      </w:r>
      <w:r w:rsidR="000D5D43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nadawanie priorytetów obsługi transmisji I/O dla skonfigurowanych</w:t>
      </w:r>
      <w:r w:rsidR="000D5D43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hostów, LUN-ów, portów do hostów. Jeżeli funkcjonalność ta</w:t>
      </w:r>
      <w:r w:rsidR="000D5D43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 xml:space="preserve">wymaga odrębnej licencji należy </w:t>
      </w:r>
      <w:r w:rsidRPr="009561B5">
        <w:rPr>
          <w:rFonts w:eastAsia="Calibri"/>
          <w:color w:val="000000"/>
          <w:sz w:val="20"/>
          <w:szCs w:val="20"/>
        </w:rPr>
        <w:lastRenderedPageBreak/>
        <w:t>dostarczyć ją wraz z macierzą w</w:t>
      </w:r>
      <w:r w:rsidR="000D5D43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wariancie dla maksymalnej pojemności dyskowej danej macierzy</w:t>
      </w:r>
      <w:r w:rsidR="000D5D43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 xml:space="preserve">oraz dla </w:t>
      </w:r>
      <w:proofErr w:type="spellStart"/>
      <w:r w:rsidRPr="009561B5">
        <w:rPr>
          <w:rFonts w:eastAsia="Calibri"/>
          <w:color w:val="000000"/>
          <w:sz w:val="20"/>
          <w:szCs w:val="20"/>
        </w:rPr>
        <w:t>maksymalmej</w:t>
      </w:r>
      <w:proofErr w:type="spellEnd"/>
      <w:r w:rsidRPr="009561B5">
        <w:rPr>
          <w:rFonts w:eastAsia="Calibri"/>
          <w:color w:val="000000"/>
          <w:sz w:val="20"/>
          <w:szCs w:val="20"/>
        </w:rPr>
        <w:t xml:space="preserve"> liczby hostów i woluminów logicznych dla</w:t>
      </w:r>
      <w:r w:rsidR="000D5D43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macierzy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14) Macierz musi obsługiwać mechanizmy ograniczania wielkości</w:t>
      </w:r>
      <w:r w:rsidR="000D5D43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pamięci podręcznej cache do obsługi wybranych woluminów LUN</w:t>
      </w:r>
      <w:r w:rsidR="000D5D43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 xml:space="preserve">(tzw. cache </w:t>
      </w:r>
      <w:proofErr w:type="spellStart"/>
      <w:r w:rsidRPr="009561B5">
        <w:rPr>
          <w:rFonts w:eastAsia="Calibri"/>
          <w:color w:val="000000"/>
          <w:sz w:val="20"/>
          <w:szCs w:val="20"/>
        </w:rPr>
        <w:t>partitioning</w:t>
      </w:r>
      <w:proofErr w:type="spellEnd"/>
      <w:r w:rsidRPr="009561B5">
        <w:rPr>
          <w:rFonts w:eastAsia="Calibri"/>
          <w:color w:val="000000"/>
          <w:sz w:val="20"/>
          <w:szCs w:val="20"/>
        </w:rPr>
        <w:t>)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15) Macierz musi umożliwiać rozproszenie alokacji danych dla</w:t>
      </w:r>
      <w:r w:rsidR="000D5D43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pojedynczego woluminu LUN na maksymalnej liczbie</w:t>
      </w:r>
      <w:r w:rsidR="000D5D43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obsługiwanych dysków HDD.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16) W przypadku obsługi protokołów CIFS i NFS wymagana jest</w:t>
      </w:r>
      <w:r w:rsidR="000D5D43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funkcjonalność agregacji przepustowości dla interfejsów</w:t>
      </w:r>
      <w:r w:rsidR="000D5D43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dedykowanych do obsługi tych protokołów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 xml:space="preserve">17) Macierz musi obsługiwać dla interfejsów </w:t>
      </w:r>
      <w:proofErr w:type="spellStart"/>
      <w:r w:rsidRPr="009561B5">
        <w:rPr>
          <w:rFonts w:eastAsia="Calibri"/>
          <w:color w:val="000000"/>
          <w:sz w:val="20"/>
          <w:szCs w:val="20"/>
        </w:rPr>
        <w:t>iSCSI</w:t>
      </w:r>
      <w:proofErr w:type="spellEnd"/>
      <w:r w:rsidRPr="009561B5">
        <w:rPr>
          <w:rFonts w:eastAsia="Calibri"/>
          <w:color w:val="000000"/>
          <w:sz w:val="20"/>
          <w:szCs w:val="20"/>
        </w:rPr>
        <w:t xml:space="preserve"> i interfejsów</w:t>
      </w:r>
      <w:r w:rsidR="000D5D43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obsługujących protokoły CIFS i NFS adresacje IP v.4 i IP v.6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18) Obsługa protokołów CIFS i NFS musi odbywać się</w:t>
      </w:r>
      <w:r w:rsidR="000D5D43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jednocześnie, jeżeli taka funkcjonalność wymaga dodatkowych</w:t>
      </w:r>
      <w:r w:rsidR="000D5D43" w:rsidRPr="009561B5">
        <w:rPr>
          <w:rFonts w:eastAsia="Calibri"/>
          <w:color w:val="000000"/>
          <w:sz w:val="20"/>
          <w:szCs w:val="20"/>
        </w:rPr>
        <w:t xml:space="preserve"> l</w:t>
      </w:r>
      <w:r w:rsidRPr="009561B5">
        <w:rPr>
          <w:rFonts w:eastAsia="Calibri"/>
          <w:color w:val="000000"/>
          <w:sz w:val="20"/>
          <w:szCs w:val="20"/>
        </w:rPr>
        <w:t>icencji to należy je dostarczyć wraz z macierzą dla maksymalnej</w:t>
      </w:r>
      <w:r w:rsidR="000D5D43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pojemności dyskowej oferowanej macierzy.</w:t>
      </w:r>
    </w:p>
    <w:p w:rsidR="000D5D43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19) Macierz musi obsługiwać migrację danych off-</w:t>
      </w:r>
      <w:proofErr w:type="spellStart"/>
      <w:r w:rsidRPr="009561B5">
        <w:rPr>
          <w:rFonts w:eastAsia="Calibri"/>
          <w:color w:val="000000"/>
          <w:sz w:val="20"/>
          <w:szCs w:val="20"/>
        </w:rPr>
        <w:t>line</w:t>
      </w:r>
      <w:proofErr w:type="spellEnd"/>
      <w:r w:rsidRPr="009561B5">
        <w:rPr>
          <w:rFonts w:eastAsia="Calibri"/>
          <w:color w:val="000000"/>
          <w:sz w:val="20"/>
          <w:szCs w:val="20"/>
        </w:rPr>
        <w:t xml:space="preserve"> z innych</w:t>
      </w:r>
      <w:r w:rsidR="000D5D43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macierzy z wykorzystaniem minimum portów FC i bez</w:t>
      </w:r>
      <w:r w:rsidR="000D5D43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wykorzystywania zewnętrznych serwerów w procesie kopiowania</w:t>
      </w:r>
      <w:r w:rsidR="000D5D43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migrowanych danych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20) Wraz z macierzą należy dostarczyć oprogramowanie lub moduły</w:t>
      </w:r>
      <w:r w:rsidR="000D5D43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programowe typu plug-in pozwalające na integracje macierzy w</w:t>
      </w:r>
      <w:r w:rsidR="000D5D43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środowiskach Vmware w zakresie obsługi mechanizmów: Vmware</w:t>
      </w:r>
      <w:r w:rsidR="000D5D43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 xml:space="preserve">VAAI, Vmware VVOL, Vmware VASA, Vmware </w:t>
      </w:r>
      <w:proofErr w:type="spellStart"/>
      <w:r w:rsidRPr="009561B5">
        <w:rPr>
          <w:rFonts w:eastAsia="Calibri"/>
          <w:color w:val="000000"/>
          <w:sz w:val="20"/>
          <w:szCs w:val="20"/>
        </w:rPr>
        <w:t>MultiPath</w:t>
      </w:r>
      <w:proofErr w:type="spellEnd"/>
      <w:r w:rsidRPr="009561B5">
        <w:rPr>
          <w:rFonts w:eastAsia="Calibri"/>
          <w:color w:val="000000"/>
          <w:sz w:val="20"/>
          <w:szCs w:val="20"/>
        </w:rPr>
        <w:t xml:space="preserve"> IO – z</w:t>
      </w:r>
      <w:r w:rsidR="000D5D43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subskrypcją do bezpłatnej aktualizacji w całym okresie</w:t>
      </w:r>
      <w:r w:rsidR="000D5D43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obowiązywania gwarancji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21) Wraz z macierzą należy zapewnić wsparcie dla mechanizmów</w:t>
      </w:r>
      <w:r w:rsidR="000D5D43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Off-</w:t>
      </w:r>
      <w:proofErr w:type="spellStart"/>
      <w:r w:rsidRPr="009561B5">
        <w:rPr>
          <w:rFonts w:eastAsia="Calibri"/>
          <w:color w:val="000000"/>
          <w:sz w:val="20"/>
          <w:szCs w:val="20"/>
        </w:rPr>
        <w:t>loaded</w:t>
      </w:r>
      <w:proofErr w:type="spellEnd"/>
      <w:r w:rsidRPr="009561B5">
        <w:rPr>
          <w:rFonts w:eastAsia="Calibri"/>
          <w:color w:val="000000"/>
          <w:sz w:val="20"/>
          <w:szCs w:val="20"/>
        </w:rPr>
        <w:t xml:space="preserve"> Data Transfer i Space </w:t>
      </w:r>
      <w:proofErr w:type="spellStart"/>
      <w:r w:rsidRPr="009561B5">
        <w:rPr>
          <w:rFonts w:eastAsia="Calibri"/>
          <w:color w:val="000000"/>
          <w:sz w:val="20"/>
          <w:szCs w:val="20"/>
        </w:rPr>
        <w:t>Reclamation</w:t>
      </w:r>
      <w:proofErr w:type="spellEnd"/>
      <w:r w:rsidRPr="009561B5">
        <w:rPr>
          <w:rFonts w:eastAsia="Calibri"/>
          <w:color w:val="000000"/>
          <w:sz w:val="20"/>
          <w:szCs w:val="20"/>
        </w:rPr>
        <w:t xml:space="preserve"> w środowiskach MS</w:t>
      </w:r>
      <w:r w:rsidR="000D5D43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Windows 2012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 xml:space="preserve">22) Macierz musi obsługiwać mechanizmy </w:t>
      </w:r>
      <w:proofErr w:type="spellStart"/>
      <w:r w:rsidRPr="009561B5">
        <w:rPr>
          <w:rFonts w:eastAsia="Calibri"/>
          <w:color w:val="000000"/>
          <w:sz w:val="20"/>
          <w:szCs w:val="20"/>
        </w:rPr>
        <w:t>Thin</w:t>
      </w:r>
      <w:proofErr w:type="spellEnd"/>
      <w:r w:rsidRPr="009561B5">
        <w:rPr>
          <w:rFonts w:eastAsia="Calibri"/>
          <w:color w:val="000000"/>
          <w:sz w:val="20"/>
          <w:szCs w:val="20"/>
        </w:rPr>
        <w:t xml:space="preserve"> </w:t>
      </w:r>
      <w:proofErr w:type="spellStart"/>
      <w:r w:rsidRPr="009561B5">
        <w:rPr>
          <w:rFonts w:eastAsia="Calibri"/>
          <w:color w:val="000000"/>
          <w:sz w:val="20"/>
          <w:szCs w:val="20"/>
        </w:rPr>
        <w:t>Provisioning</w:t>
      </w:r>
      <w:proofErr w:type="spellEnd"/>
      <w:r w:rsidRPr="009561B5">
        <w:rPr>
          <w:rFonts w:eastAsia="Calibri"/>
          <w:color w:val="000000"/>
          <w:sz w:val="20"/>
          <w:szCs w:val="20"/>
        </w:rPr>
        <w:t xml:space="preserve"> czyli</w:t>
      </w:r>
      <w:r w:rsidR="000D5D43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przydziału dla obsługiwanych środowisk woluminów logicznych o</w:t>
      </w:r>
      <w:r w:rsidR="000D5D43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sumarycznej pojemności większej od sumy pojemności dysków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fizycznych zainstalowanych w macierzy.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23) Model oferowanej macierzy musi wspierać rozwiązania</w:t>
      </w:r>
      <w:r w:rsidR="000D5D43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zapewnienia wysokiej dostępności zasobów dyskowych macierzy</w:t>
      </w:r>
      <w:r w:rsidR="000D5D43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dla podłączonych platform software’owych i sprzętowych z</w:t>
      </w:r>
      <w:r w:rsidR="000D5D43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wykorzystaniem synchronicznej replikacji danych po FC pomiędzy</w:t>
      </w:r>
      <w:r w:rsidR="000D5D43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minimum 2 macierzami</w:t>
      </w:r>
    </w:p>
    <w:p w:rsidR="000D5D43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24) Pod użytym w pkt. 23 pojęciem ‘wysoka dostępność zasobów</w:t>
      </w:r>
      <w:r w:rsidR="000D5D43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dyskowych’ należy rozumieć zapewnienie bezprzerwowego</w:t>
      </w:r>
      <w:r w:rsidR="000D5D43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działania środowiska (aplikacja/ system operacyjny/ serwer)</w:t>
      </w:r>
      <w:r w:rsidR="000D5D43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podłączonego do macierzy (macierz podstawowa) w przypadku</w:t>
      </w:r>
      <w:r w:rsidR="000D5D43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wystąpienia awarii logicznego połączenia z tą macierzy bądź awarii</w:t>
      </w:r>
      <w:r w:rsidR="000D5D43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samej macierzą, powodujących dla danego środowiska brak dostępu</w:t>
      </w:r>
      <w:r w:rsidR="000D5D43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 xml:space="preserve">do zasobów macierzy podstawowej </w:t>
      </w:r>
    </w:p>
    <w:p w:rsidR="000D5D43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25) Dla uruchomienia</w:t>
      </w:r>
      <w:r w:rsidR="000D5D43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funkcjonalności opisanej w poprzednim punkcie dla macierzy musi</w:t>
      </w:r>
      <w:r w:rsidR="000D5D43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być możliwość wykorzystania istniejącej infrastruktury FC SAN</w:t>
      </w:r>
      <w:r w:rsidR="000D5D43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Użytkownika w zakresie minimum przełączników FC i kart HBA FC</w:t>
      </w:r>
      <w:r w:rsidR="000D5D43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zainstalowanych w serwerach Użytkownika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26) Replikacja danych pomiędzy macierzami podstawową i</w:t>
      </w:r>
      <w:r w:rsidR="000D5D43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zapasową, wykorzystanych w układzie wysokiej dostępności, musi</w:t>
      </w:r>
      <w:r w:rsidR="000D5D43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wspierać poziomy RAID1, RAID10, RAID5, RAID6 bez</w:t>
      </w:r>
      <w:r w:rsidR="000D5D43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konieczności stosowania lustrzanej konfiguracji grup dyskowych</w:t>
      </w:r>
      <w:r w:rsidR="000D5D43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pomiędzy macierzami podstawową i główną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27) Funkcjonalność wysokiej dostępności musi pozwalać</w:t>
      </w:r>
      <w:r w:rsidR="009561B5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automatyczne przełączanie obsługi środowisk produkcyjnych z</w:t>
      </w:r>
      <w:r w:rsidR="009561B5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macierzy podstawowej na zapasową w przypadku awarii macierzy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 xml:space="preserve">podstawowej (tzw. </w:t>
      </w:r>
      <w:proofErr w:type="spellStart"/>
      <w:r w:rsidRPr="009561B5">
        <w:rPr>
          <w:rFonts w:eastAsia="Calibri"/>
          <w:color w:val="000000"/>
          <w:sz w:val="20"/>
          <w:szCs w:val="20"/>
        </w:rPr>
        <w:t>automated</w:t>
      </w:r>
      <w:proofErr w:type="spellEnd"/>
      <w:r w:rsidRPr="009561B5">
        <w:rPr>
          <w:rFonts w:eastAsia="Calibri"/>
          <w:color w:val="000000"/>
          <w:sz w:val="20"/>
          <w:szCs w:val="20"/>
        </w:rPr>
        <w:t xml:space="preserve"> </w:t>
      </w:r>
      <w:proofErr w:type="spellStart"/>
      <w:r w:rsidRPr="009561B5">
        <w:rPr>
          <w:rFonts w:eastAsia="Calibri"/>
          <w:color w:val="000000"/>
          <w:sz w:val="20"/>
          <w:szCs w:val="20"/>
        </w:rPr>
        <w:t>failover</w:t>
      </w:r>
      <w:proofErr w:type="spellEnd"/>
      <w:r w:rsidRPr="009561B5">
        <w:rPr>
          <w:rFonts w:eastAsia="Calibri"/>
          <w:color w:val="000000"/>
          <w:sz w:val="20"/>
          <w:szCs w:val="20"/>
        </w:rPr>
        <w:t>)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28) Funkcjonalność wysokiej dostępności musi pozwalać ręczne</w:t>
      </w:r>
      <w:r w:rsidR="009561B5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(zaplanowane) przełączanie obsługi środowisk produkcyjnych z</w:t>
      </w:r>
      <w:r w:rsidR="009561B5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 xml:space="preserve">macierzy podstawowej na zapasową (tzw. manual </w:t>
      </w:r>
      <w:proofErr w:type="spellStart"/>
      <w:r w:rsidRPr="009561B5">
        <w:rPr>
          <w:rFonts w:eastAsia="Calibri"/>
          <w:color w:val="000000"/>
          <w:sz w:val="20"/>
          <w:szCs w:val="20"/>
        </w:rPr>
        <w:t>failover</w:t>
      </w:r>
      <w:proofErr w:type="spellEnd"/>
      <w:r w:rsidRPr="009561B5">
        <w:rPr>
          <w:rFonts w:eastAsia="Calibri"/>
          <w:color w:val="000000"/>
          <w:sz w:val="20"/>
          <w:szCs w:val="20"/>
        </w:rPr>
        <w:t>)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29) Funkcjonalność wysokiej dostępności musi pozwalać na</w:t>
      </w:r>
      <w:r w:rsidR="009561B5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minimum ręczne przełączanie obsługi środowisk produkcyjnych z</w:t>
      </w:r>
      <w:r w:rsidR="009561B5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macierzy zapasowej na podstawowej po usunięciu awarii macierzy</w:t>
      </w:r>
    </w:p>
    <w:p w:rsidR="009561B5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 xml:space="preserve">podstawowej (tzw. </w:t>
      </w:r>
      <w:proofErr w:type="spellStart"/>
      <w:r w:rsidRPr="009561B5">
        <w:rPr>
          <w:rFonts w:eastAsia="Calibri"/>
          <w:color w:val="000000"/>
          <w:sz w:val="20"/>
          <w:szCs w:val="20"/>
        </w:rPr>
        <w:t>failback</w:t>
      </w:r>
      <w:proofErr w:type="spellEnd"/>
      <w:r w:rsidRPr="009561B5">
        <w:rPr>
          <w:rFonts w:eastAsia="Calibri"/>
          <w:color w:val="000000"/>
          <w:sz w:val="20"/>
          <w:szCs w:val="20"/>
        </w:rPr>
        <w:t xml:space="preserve"> )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30) Funkcjonalność wysokiej dostępności musi wspierać</w:t>
      </w:r>
      <w:r w:rsidR="009561B5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konfiguracje z macierzą zapasową zainstalowaną w innej fizycznej</w:t>
      </w:r>
      <w:r w:rsidR="009561B5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lokalizacji o ile nadal spełnione są warunki dla realizacji</w:t>
      </w:r>
      <w:r w:rsidR="009561B5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synchronicznej replikacji danych pomiędzy lokalizacjami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31) Funkcjonalność wysokiej dostępności musi wspierać</w:t>
      </w:r>
      <w:r w:rsidR="009561B5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dwukierunkowe przełączanie macierzy podstawowej na zapasową tj.</w:t>
      </w:r>
      <w:r w:rsidR="009561B5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przypadek, gdy każda z tych macierzy obsługuje własne środowisko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produkcyjne, a rolę jej macierzy zapasowej pełni druga z macierzy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  <w:u w:val="single"/>
        </w:rPr>
      </w:pPr>
      <w:r w:rsidRPr="009561B5">
        <w:rPr>
          <w:rFonts w:eastAsia="Calibri"/>
          <w:color w:val="000000"/>
          <w:sz w:val="20"/>
          <w:szCs w:val="20"/>
          <w:u w:val="single"/>
        </w:rPr>
        <w:t>8. Konfiguracja, zarządzanie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1) Oprogramowanie do zarządzania musi być zintegrowane z</w:t>
      </w:r>
      <w:r w:rsidR="009561B5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systemem operacyjnym systemu pamięci masowej zarówno przy</w:t>
      </w:r>
      <w:r w:rsidR="009561B5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 xml:space="preserve">obsłudze transmisji danych protokołami blokowymi (FC, </w:t>
      </w:r>
      <w:proofErr w:type="spellStart"/>
      <w:r w:rsidRPr="009561B5">
        <w:rPr>
          <w:rFonts w:eastAsia="Calibri"/>
          <w:color w:val="000000"/>
          <w:sz w:val="20"/>
          <w:szCs w:val="20"/>
        </w:rPr>
        <w:t>iSCSI</w:t>
      </w:r>
      <w:proofErr w:type="spellEnd"/>
      <w:r w:rsidRPr="009561B5">
        <w:rPr>
          <w:rFonts w:eastAsia="Calibri"/>
          <w:color w:val="000000"/>
          <w:sz w:val="20"/>
          <w:szCs w:val="20"/>
        </w:rPr>
        <w:t>,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 xml:space="preserve">SAS, </w:t>
      </w:r>
      <w:proofErr w:type="spellStart"/>
      <w:r w:rsidRPr="009561B5">
        <w:rPr>
          <w:rFonts w:eastAsia="Calibri"/>
          <w:color w:val="000000"/>
          <w:sz w:val="20"/>
          <w:szCs w:val="20"/>
        </w:rPr>
        <w:t>FCoE</w:t>
      </w:r>
      <w:proofErr w:type="spellEnd"/>
      <w:r w:rsidRPr="009561B5">
        <w:rPr>
          <w:rFonts w:eastAsia="Calibri"/>
          <w:color w:val="000000"/>
          <w:sz w:val="20"/>
          <w:szCs w:val="20"/>
        </w:rPr>
        <w:t>) jak i do obsługi transmisji protokołami CIFS/NFS.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2) Komunikacja z wbudowanym oprogramowaniem zarządzającym</w:t>
      </w:r>
      <w:r w:rsidR="009561B5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macierzą musi być możliwa w trybie graficznym np. poprzez</w:t>
      </w:r>
      <w:r w:rsidR="009561B5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przeglądarkę WWW oraz w trybie tekstowym.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3) Musi być możliwe zdalne zarządzanie macierzą bez konieczności</w:t>
      </w:r>
      <w:r w:rsidR="009561B5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instalacji żadnych dodatkowych aplikacji na stacji administratora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lastRenderedPageBreak/>
        <w:t>4) Wbudowane oprogramowanie macierzy musi obsługiwać</w:t>
      </w:r>
      <w:r w:rsidR="009561B5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połączenia z modułem zarządzania macierzy poprzez szyfrowanie</w:t>
      </w:r>
      <w:r w:rsidR="009561B5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komunikacji protokołami: SSL dla komunikacji poprzez</w:t>
      </w:r>
      <w:r w:rsidR="009561B5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przeglądarkę WWW i protokołem SSH dla komunikacji poprzez CLI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  <w:u w:val="single"/>
        </w:rPr>
      </w:pPr>
      <w:r w:rsidRPr="009561B5">
        <w:rPr>
          <w:rFonts w:eastAsia="Calibri"/>
          <w:color w:val="000000"/>
          <w:sz w:val="20"/>
          <w:szCs w:val="20"/>
          <w:u w:val="single"/>
        </w:rPr>
        <w:t>9. Gwarancja i</w:t>
      </w:r>
      <w:r w:rsidR="009561B5" w:rsidRPr="009561B5">
        <w:rPr>
          <w:rFonts w:eastAsia="Calibri"/>
          <w:color w:val="000000"/>
          <w:sz w:val="20"/>
          <w:szCs w:val="20"/>
          <w:u w:val="single"/>
        </w:rPr>
        <w:t xml:space="preserve"> </w:t>
      </w:r>
      <w:r w:rsidRPr="009561B5">
        <w:rPr>
          <w:rFonts w:eastAsia="Calibri"/>
          <w:color w:val="000000"/>
          <w:sz w:val="20"/>
          <w:szCs w:val="20"/>
          <w:u w:val="single"/>
        </w:rPr>
        <w:t>serwis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1) Całe rozwiązanie musi być objęte minimum 60 miesięcznym</w:t>
      </w:r>
      <w:r w:rsidR="009561B5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okresem gwarancji z naprawą miejscu instalacji urządzenia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2) Uszkodzone dyski zawierające dane pozostają własnością</w:t>
      </w:r>
      <w:r w:rsidR="009561B5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Zamawiającego i nie będą zwracane do organizacji serwisowej</w:t>
      </w:r>
      <w:r w:rsidR="009561B5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producenta macierzy .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3) Serwis gwarancyjny musi obejmować dostęp do poprawek i</w:t>
      </w:r>
      <w:r w:rsidR="009561B5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nowych wersji oprogramowania wbudowanego, które są elementem</w:t>
      </w:r>
      <w:r w:rsidR="009561B5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zamówienia, w ciągu 36 miesięcy od daty zakupu.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4) Wraz z macierzą należy zapewnić subskrypcję na bezpłatną</w:t>
      </w:r>
      <w:r w:rsidR="009561B5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aktualizację (możliwość bezpłatnego pobrania ze stron</w:t>
      </w:r>
      <w:r w:rsidR="009561B5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internetowych producenta) oprogramowania wewnętrznego</w:t>
      </w:r>
      <w:r w:rsidR="009561B5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macierzy w całym okresie obowiązywania gwarancji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5) System musi zapewniać możliwość samodzielnego i</w:t>
      </w:r>
      <w:r w:rsidR="009561B5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automatycznego powiadamiania producenta i administratorów</w:t>
      </w:r>
      <w:r w:rsidR="009561B5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Zamawiającego o usterkach za pomocą wiadomości wysyłanych</w:t>
      </w:r>
      <w:r w:rsidR="009561B5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poprzez protokół SNMP (wersja: 1 ,2c, 3) lub SMTP</w:t>
      </w:r>
    </w:p>
    <w:p w:rsidR="0095221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6) Macierz musi pochodzić z legalnego kanału sprzedaży producenta</w:t>
      </w:r>
      <w:r w:rsidR="009561B5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w Polsce i musi reprezentować model bieżącej linii produkcyjnej.</w:t>
      </w:r>
      <w:r w:rsidR="009561B5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Nie dopuszcza się użycia macierzy odnawianych, demonstracyjnych</w:t>
      </w:r>
      <w:r w:rsidR="009561B5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lub powystawowych</w:t>
      </w:r>
    </w:p>
    <w:p w:rsidR="006230BF" w:rsidRPr="009561B5" w:rsidRDefault="0095221F" w:rsidP="008E11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9561B5">
        <w:rPr>
          <w:rFonts w:eastAsia="Calibri"/>
          <w:color w:val="000000"/>
          <w:sz w:val="20"/>
          <w:szCs w:val="20"/>
        </w:rPr>
        <w:t>7) Urządzenie musi być wykonane zgodnie z europejskimi</w:t>
      </w:r>
      <w:r w:rsidR="009561B5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 xml:space="preserve">dyrektywami </w:t>
      </w:r>
      <w:proofErr w:type="spellStart"/>
      <w:r w:rsidRPr="009561B5">
        <w:rPr>
          <w:rFonts w:eastAsia="Calibri"/>
          <w:color w:val="000000"/>
          <w:sz w:val="20"/>
          <w:szCs w:val="20"/>
        </w:rPr>
        <w:t>RoHS</w:t>
      </w:r>
      <w:proofErr w:type="spellEnd"/>
      <w:r w:rsidRPr="009561B5">
        <w:rPr>
          <w:rFonts w:eastAsia="Calibri"/>
          <w:color w:val="000000"/>
          <w:sz w:val="20"/>
          <w:szCs w:val="20"/>
        </w:rPr>
        <w:t xml:space="preserve"> i WEEE stanowiącymi o unikaniu i</w:t>
      </w:r>
      <w:r w:rsidR="009561B5" w:rsidRPr="009561B5">
        <w:rPr>
          <w:rFonts w:eastAsia="Calibri"/>
          <w:color w:val="000000"/>
          <w:sz w:val="20"/>
          <w:szCs w:val="20"/>
        </w:rPr>
        <w:t xml:space="preserve"> </w:t>
      </w:r>
      <w:r w:rsidRPr="009561B5">
        <w:rPr>
          <w:rFonts w:eastAsia="Calibri"/>
          <w:color w:val="000000"/>
          <w:sz w:val="20"/>
          <w:szCs w:val="20"/>
        </w:rPr>
        <w:t>ograniczaniu stosowania substancji szkodliwych dla zdrowia</w:t>
      </w:r>
    </w:p>
    <w:p w:rsidR="001C1619" w:rsidRDefault="001C1619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1C1619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Przy wyborze Zamawiający będ</w:t>
      </w:r>
      <w:r w:rsidR="006230BF">
        <w:rPr>
          <w:rFonts w:cstheme="minorHAnsi"/>
          <w:sz w:val="20"/>
          <w:szCs w:val="20"/>
        </w:rPr>
        <w:t>zie się kierował kryterium ceny.</w:t>
      </w:r>
    </w:p>
    <w:p w:rsidR="006230BF" w:rsidRDefault="006230BF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6230BF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 zaświadczenia o nadaniu NIP.</w:t>
      </w:r>
    </w:p>
    <w:p w:rsidR="009561B5" w:rsidRPr="009561B5" w:rsidRDefault="00092BB7" w:rsidP="009561B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hyperlink r:id="rId6" w:history="1">
        <w:r w:rsidR="009561B5" w:rsidRPr="00C52B8F">
          <w:rPr>
            <w:rStyle w:val="Hipercze"/>
            <w:sz w:val="20"/>
            <w:szCs w:val="20"/>
          </w:rPr>
          <w:t>p.redel@nencki.gov.pl</w:t>
        </w:r>
      </w:hyperlink>
      <w:r w:rsidR="009561B5">
        <w:rPr>
          <w:rStyle w:val="Hipercze"/>
          <w:sz w:val="20"/>
          <w:szCs w:val="20"/>
        </w:rPr>
        <w:t xml:space="preserve"> 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9561B5" w:rsidRPr="009561B5">
        <w:rPr>
          <w:rFonts w:cstheme="minorHAnsi"/>
          <w:b/>
          <w:color w:val="000000"/>
          <w:sz w:val="20"/>
          <w:szCs w:val="20"/>
        </w:rPr>
        <w:t>Macierz dyskowa</w:t>
      </w:r>
    </w:p>
    <w:p w:rsidR="00092BB7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</w:p>
    <w:p w:rsidR="006230BF" w:rsidRDefault="006230BF" w:rsidP="006230BF">
      <w:pPr>
        <w:autoSpaceDE w:val="0"/>
        <w:autoSpaceDN w:val="0"/>
        <w:adjustRightInd w:val="0"/>
        <w:spacing w:after="0" w:line="240" w:lineRule="auto"/>
        <w:ind w:left="360" w:right="545"/>
        <w:jc w:val="both"/>
        <w:rPr>
          <w:rFonts w:cstheme="minorHAnsi"/>
          <w:sz w:val="20"/>
          <w:szCs w:val="20"/>
        </w:rPr>
      </w:pPr>
    </w:p>
    <w:p w:rsidR="001C1619" w:rsidRDefault="001C1619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6230BF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</w:t>
      </w:r>
      <w:r w:rsidR="00092BB7" w:rsidRPr="002329A0">
        <w:rPr>
          <w:rFonts w:cstheme="minorHAnsi"/>
          <w:b/>
          <w:bCs/>
          <w:sz w:val="20"/>
          <w:szCs w:val="20"/>
        </w:rPr>
        <w:t>V Dodatkowe informacje:</w:t>
      </w:r>
    </w:p>
    <w:p w:rsidR="00092BB7" w:rsidRPr="002329A0" w:rsidRDefault="00092BB7" w:rsidP="001C1619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F831D6" w:rsidRPr="002329A0" w:rsidRDefault="00F831D6" w:rsidP="00F831D6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</w:t>
      </w:r>
      <w:r w:rsidR="00D11D1A">
        <w:rPr>
          <w:rFonts w:cstheme="minorHAnsi"/>
          <w:sz w:val="20"/>
          <w:szCs w:val="20"/>
        </w:rPr>
        <w:t xml:space="preserve">30 </w:t>
      </w:r>
      <w:r>
        <w:rPr>
          <w:rFonts w:cstheme="minorHAnsi"/>
          <w:sz w:val="20"/>
          <w:szCs w:val="20"/>
        </w:rPr>
        <w:t>dni (termin deklarowany do określenia w ofercie)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92BB7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Wybór Wykonawcy zostanie ogłoszony na stronie www. Zamawiającego niezwłocznie po zakończeniu procedury.</w:t>
      </w: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sectPr w:rsidR="00022033" w:rsidSect="009C740A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22033"/>
    <w:rsid w:val="00092BB7"/>
    <w:rsid w:val="000D5D43"/>
    <w:rsid w:val="001C1619"/>
    <w:rsid w:val="001C6BB2"/>
    <w:rsid w:val="002329A0"/>
    <w:rsid w:val="002B1283"/>
    <w:rsid w:val="00445E9E"/>
    <w:rsid w:val="005A322A"/>
    <w:rsid w:val="006230BF"/>
    <w:rsid w:val="008E114F"/>
    <w:rsid w:val="0095221F"/>
    <w:rsid w:val="009561B5"/>
    <w:rsid w:val="009C740A"/>
    <w:rsid w:val="00A67081"/>
    <w:rsid w:val="00D11D1A"/>
    <w:rsid w:val="00D53E82"/>
    <w:rsid w:val="00F23315"/>
    <w:rsid w:val="00F73C38"/>
    <w:rsid w:val="00F8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083B67-C923-45BD-A148-9AE93324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.redel@nencki.gov.pl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2692</Words>
  <Characters>16152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dcterms:created xsi:type="dcterms:W3CDTF">2019-10-24T10:36:00Z</dcterms:created>
  <dcterms:modified xsi:type="dcterms:W3CDTF">2019-10-24T10:38:00Z</dcterms:modified>
</cp:coreProperties>
</file>