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4C465" w14:textId="2FFF32B1" w:rsidR="00EB537D" w:rsidRPr="009906A7" w:rsidRDefault="003D3797" w:rsidP="009906A7">
      <w:pPr>
        <w:ind w:left="-284" w:right="403"/>
        <w:rPr>
          <w:b/>
        </w:rPr>
      </w:pPr>
      <w:r>
        <w:rPr>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09D3AC35" w:rsidR="00EB537D" w:rsidRPr="00264BBF" w:rsidRDefault="00EB537D" w:rsidP="009906A7">
      <w:pPr>
        <w:autoSpaceDE w:val="0"/>
        <w:autoSpaceDN w:val="0"/>
        <w:adjustRightInd w:val="0"/>
        <w:ind w:left="-284" w:right="403"/>
        <w:jc w:val="right"/>
        <w:rPr>
          <w:rFonts w:asciiTheme="minorHAnsi" w:hAnsiTheme="minorHAnsi" w:cstheme="minorHAnsi"/>
          <w:b/>
          <w:sz w:val="24"/>
          <w:szCs w:val="24"/>
        </w:rPr>
      </w:pP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2001E7">
        <w:rPr>
          <w:rFonts w:asciiTheme="minorHAnsi" w:hAnsiTheme="minorHAnsi" w:cstheme="minorHAnsi"/>
          <w:b/>
          <w:sz w:val="24"/>
          <w:szCs w:val="24"/>
        </w:rPr>
        <w:t>11</w:t>
      </w:r>
      <w:r w:rsidR="00371D9B" w:rsidRPr="00264BBF">
        <w:rPr>
          <w:rFonts w:asciiTheme="minorHAnsi" w:hAnsiTheme="minorHAnsi" w:cstheme="minorHAnsi"/>
          <w:b/>
          <w:sz w:val="24"/>
          <w:szCs w:val="24"/>
        </w:rPr>
        <w:t>.09.2019 r.</w:t>
      </w:r>
    </w:p>
    <w:p w14:paraId="2C5246D4" w14:textId="6C486F03" w:rsidR="00EB537D" w:rsidRDefault="00EB537D" w:rsidP="009906A7">
      <w:pPr>
        <w:autoSpaceDE w:val="0"/>
        <w:autoSpaceDN w:val="0"/>
        <w:adjustRightInd w:val="0"/>
        <w:ind w:left="-284" w:right="403"/>
        <w:jc w:val="both"/>
        <w:rPr>
          <w:rFonts w:asciiTheme="minorHAnsi" w:hAnsiTheme="minorHAnsi" w:cstheme="minorHAnsi"/>
          <w:sz w:val="24"/>
          <w:szCs w:val="24"/>
        </w:rPr>
      </w:pPr>
    </w:p>
    <w:p w14:paraId="31D7C791" w14:textId="3E0FDAB8" w:rsidR="009906A7" w:rsidRDefault="009906A7" w:rsidP="009906A7">
      <w:pPr>
        <w:autoSpaceDE w:val="0"/>
        <w:autoSpaceDN w:val="0"/>
        <w:adjustRightInd w:val="0"/>
        <w:ind w:left="-284" w:right="403"/>
        <w:jc w:val="both"/>
        <w:rPr>
          <w:rFonts w:asciiTheme="minorHAnsi" w:hAnsiTheme="minorHAnsi" w:cstheme="minorHAnsi"/>
          <w:sz w:val="24"/>
          <w:szCs w:val="24"/>
        </w:rPr>
      </w:pPr>
    </w:p>
    <w:p w14:paraId="0146A4E8" w14:textId="77777777" w:rsidR="009906A7" w:rsidRPr="00385AC8" w:rsidRDefault="009906A7" w:rsidP="009906A7">
      <w:pPr>
        <w:autoSpaceDE w:val="0"/>
        <w:autoSpaceDN w:val="0"/>
        <w:adjustRightInd w:val="0"/>
        <w:ind w:left="-284" w:right="403"/>
        <w:jc w:val="both"/>
        <w:rPr>
          <w:rFonts w:asciiTheme="minorHAnsi" w:hAnsiTheme="minorHAnsi" w:cstheme="minorHAnsi"/>
          <w:sz w:val="24"/>
          <w:szCs w:val="24"/>
        </w:rPr>
      </w:pPr>
    </w:p>
    <w:p w14:paraId="6B7410D3" w14:textId="2105A582" w:rsidR="00EB537D" w:rsidRPr="00AE56B7" w:rsidRDefault="00EB537D" w:rsidP="009906A7">
      <w:pPr>
        <w:autoSpaceDE w:val="0"/>
        <w:autoSpaceDN w:val="0"/>
        <w:adjustRightInd w:val="0"/>
        <w:spacing w:line="259" w:lineRule="auto"/>
        <w:ind w:left="-284" w:right="403"/>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3D3178">
        <w:rPr>
          <w:rFonts w:asciiTheme="minorHAnsi" w:hAnsiTheme="minorHAnsi" w:cstheme="minorHAnsi"/>
          <w:b/>
          <w:bCs/>
          <w:caps/>
          <w:sz w:val="24"/>
          <w:szCs w:val="24"/>
        </w:rPr>
        <w:t>89</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9906A7">
      <w:pPr>
        <w:autoSpaceDE w:val="0"/>
        <w:autoSpaceDN w:val="0"/>
        <w:adjustRightInd w:val="0"/>
        <w:spacing w:line="259" w:lineRule="auto"/>
        <w:ind w:left="-284" w:right="403"/>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AE56B7" w:rsidRDefault="00EB537D" w:rsidP="009906A7">
      <w:pPr>
        <w:autoSpaceDE w:val="0"/>
        <w:autoSpaceDN w:val="0"/>
        <w:adjustRightInd w:val="0"/>
        <w:spacing w:line="259" w:lineRule="auto"/>
        <w:ind w:left="-284" w:right="403"/>
        <w:jc w:val="center"/>
        <w:rPr>
          <w:rFonts w:asciiTheme="minorHAnsi" w:hAnsiTheme="minorHAnsi" w:cstheme="minorHAnsi"/>
          <w:sz w:val="24"/>
          <w:szCs w:val="24"/>
        </w:rPr>
      </w:pPr>
    </w:p>
    <w:p w14:paraId="24CD0E7F" w14:textId="60738D58" w:rsidR="00EB537D" w:rsidRPr="00AE56B7" w:rsidRDefault="00371D9B" w:rsidP="009906A7">
      <w:pPr>
        <w:autoSpaceDE w:val="0"/>
        <w:autoSpaceDN w:val="0"/>
        <w:adjustRightInd w:val="0"/>
        <w:spacing w:line="259" w:lineRule="auto"/>
        <w:ind w:left="-284" w:right="403"/>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3D3178">
        <w:rPr>
          <w:rFonts w:asciiTheme="minorHAnsi" w:eastAsia="Batang" w:hAnsiTheme="minorHAnsi" w:cstheme="minorHAnsi"/>
          <w:b/>
          <w:sz w:val="24"/>
          <w:szCs w:val="24"/>
        </w:rPr>
        <w:t>Bioshop</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9906A7">
      <w:pPr>
        <w:autoSpaceDE w:val="0"/>
        <w:autoSpaceDN w:val="0"/>
        <w:adjustRightInd w:val="0"/>
        <w:spacing w:line="259" w:lineRule="auto"/>
        <w:ind w:left="-284" w:right="403"/>
        <w:jc w:val="center"/>
        <w:rPr>
          <w:rFonts w:asciiTheme="minorHAnsi" w:hAnsiTheme="minorHAnsi" w:cstheme="minorHAnsi"/>
          <w:sz w:val="24"/>
          <w:szCs w:val="24"/>
        </w:rPr>
      </w:pPr>
    </w:p>
    <w:p w14:paraId="698ED9FE" w14:textId="77777777" w:rsidR="00EB537D" w:rsidRPr="00AE56B7" w:rsidRDefault="00EB537D" w:rsidP="009906A7">
      <w:pPr>
        <w:autoSpaceDE w:val="0"/>
        <w:autoSpaceDN w:val="0"/>
        <w:adjustRightInd w:val="0"/>
        <w:spacing w:line="259" w:lineRule="auto"/>
        <w:ind w:left="-284" w:right="403"/>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9906A7">
      <w:pPr>
        <w:autoSpaceDE w:val="0"/>
        <w:autoSpaceDN w:val="0"/>
        <w:adjustRightInd w:val="0"/>
        <w:spacing w:line="259" w:lineRule="auto"/>
        <w:ind w:left="-284" w:right="403"/>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AE56B7" w:rsidRDefault="00EB537D" w:rsidP="009906A7">
      <w:pPr>
        <w:autoSpaceDE w:val="0"/>
        <w:autoSpaceDN w:val="0"/>
        <w:adjustRightInd w:val="0"/>
        <w:spacing w:line="259" w:lineRule="auto"/>
        <w:ind w:left="-284" w:right="403"/>
        <w:rPr>
          <w:rFonts w:asciiTheme="minorHAnsi" w:hAnsiTheme="minorHAnsi" w:cstheme="minorHAnsi"/>
          <w:sz w:val="24"/>
          <w:szCs w:val="24"/>
        </w:rPr>
      </w:pPr>
    </w:p>
    <w:p w14:paraId="7052F597" w14:textId="6A9A7EF2" w:rsidR="00EB537D" w:rsidRPr="00AE56B7" w:rsidRDefault="00EB537D" w:rsidP="009906A7">
      <w:pPr>
        <w:autoSpaceDE w:val="0"/>
        <w:autoSpaceDN w:val="0"/>
        <w:adjustRightInd w:val="0"/>
        <w:spacing w:line="259" w:lineRule="auto"/>
        <w:ind w:left="-284" w:right="403"/>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9906A7">
      <w:pPr>
        <w:autoSpaceDE w:val="0"/>
        <w:autoSpaceDN w:val="0"/>
        <w:adjustRightInd w:val="0"/>
        <w:spacing w:line="259" w:lineRule="auto"/>
        <w:ind w:left="-284" w:right="403"/>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2E2A1698" w:rsidR="00EB537D" w:rsidRPr="00AE56B7" w:rsidRDefault="00EB537D" w:rsidP="009906A7">
      <w:pPr>
        <w:autoSpaceDE w:val="0"/>
        <w:autoSpaceDN w:val="0"/>
        <w:adjustRightInd w:val="0"/>
        <w:spacing w:line="259" w:lineRule="auto"/>
        <w:ind w:left="-284" w:right="403"/>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2001E7">
        <w:rPr>
          <w:rFonts w:asciiTheme="minorHAnsi" w:hAnsiTheme="minorHAnsi" w:cstheme="minorHAnsi"/>
          <w:b/>
          <w:bCs/>
          <w:sz w:val="24"/>
          <w:szCs w:val="24"/>
        </w:rPr>
        <w:t>niej niż do dnia 19</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9906A7">
      <w:pPr>
        <w:autoSpaceDE w:val="0"/>
        <w:autoSpaceDN w:val="0"/>
        <w:adjustRightInd w:val="0"/>
        <w:spacing w:line="259" w:lineRule="auto"/>
        <w:ind w:left="-284" w:right="403"/>
        <w:jc w:val="both"/>
        <w:rPr>
          <w:rFonts w:asciiTheme="minorHAnsi" w:hAnsiTheme="minorHAnsi" w:cstheme="minorHAnsi"/>
          <w:b/>
          <w:bCs/>
          <w:sz w:val="24"/>
          <w:szCs w:val="24"/>
        </w:rPr>
      </w:pPr>
    </w:p>
    <w:p w14:paraId="7CF877FA" w14:textId="77777777" w:rsidR="00EB537D" w:rsidRPr="00AE56B7" w:rsidRDefault="00EB537D" w:rsidP="009906A7">
      <w:pPr>
        <w:autoSpaceDE w:val="0"/>
        <w:autoSpaceDN w:val="0"/>
        <w:adjustRightInd w:val="0"/>
        <w:spacing w:line="259" w:lineRule="auto"/>
        <w:ind w:left="-284" w:right="403"/>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9906A7">
      <w:pPr>
        <w:numPr>
          <w:ilvl w:val="0"/>
          <w:numId w:val="3"/>
        </w:numPr>
        <w:tabs>
          <w:tab w:val="clear" w:pos="720"/>
          <w:tab w:val="num" w:pos="426"/>
        </w:tabs>
        <w:spacing w:line="259" w:lineRule="auto"/>
        <w:ind w:left="-284" w:right="403" w:hanging="283"/>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9906A7">
      <w:p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9906A7">
      <w:pPr>
        <w:numPr>
          <w:ilvl w:val="0"/>
          <w:numId w:val="6"/>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9906A7">
      <w:pPr>
        <w:numPr>
          <w:ilvl w:val="0"/>
          <w:numId w:val="6"/>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9906A7">
      <w:p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9906A7">
      <w:pPr>
        <w:autoSpaceDE w:val="0"/>
        <w:autoSpaceDN w:val="0"/>
        <w:adjustRightInd w:val="0"/>
        <w:spacing w:line="259" w:lineRule="auto"/>
        <w:ind w:left="-284" w:right="403"/>
        <w:jc w:val="center"/>
        <w:rPr>
          <w:rFonts w:asciiTheme="minorHAnsi" w:hAnsiTheme="minorHAnsi" w:cstheme="minorHAnsi"/>
          <w:b/>
          <w:sz w:val="24"/>
          <w:szCs w:val="24"/>
        </w:rPr>
      </w:pPr>
    </w:p>
    <w:p w14:paraId="13546633" w14:textId="77777777" w:rsidR="004C4F75" w:rsidRPr="00AE56B7" w:rsidRDefault="004C4F75" w:rsidP="009906A7">
      <w:pPr>
        <w:pStyle w:val="Akapitzlist"/>
        <w:numPr>
          <w:ilvl w:val="0"/>
          <w:numId w:val="3"/>
        </w:numPr>
        <w:tabs>
          <w:tab w:val="clear" w:pos="720"/>
          <w:tab w:val="num" w:pos="426"/>
        </w:tabs>
        <w:autoSpaceDE w:val="0"/>
        <w:autoSpaceDN w:val="0"/>
        <w:adjustRightInd w:val="0"/>
        <w:spacing w:line="259" w:lineRule="auto"/>
        <w:ind w:left="-284" w:right="403" w:hanging="283"/>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9906A7">
      <w:p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9906A7">
      <w:pPr>
        <w:pStyle w:val="Akapitzlist"/>
        <w:numPr>
          <w:ilvl w:val="3"/>
          <w:numId w:val="5"/>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9906A7">
      <w:pPr>
        <w:pStyle w:val="Akapitzlist"/>
        <w:numPr>
          <w:ilvl w:val="3"/>
          <w:numId w:val="5"/>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9906A7">
      <w:pPr>
        <w:pStyle w:val="Akapitzlist"/>
        <w:numPr>
          <w:ilvl w:val="3"/>
          <w:numId w:val="5"/>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9906A7">
      <w:p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9906A7">
      <w:pPr>
        <w:autoSpaceDE w:val="0"/>
        <w:autoSpaceDN w:val="0"/>
        <w:adjustRightInd w:val="0"/>
        <w:spacing w:line="259" w:lineRule="auto"/>
        <w:ind w:left="-284" w:right="403"/>
        <w:jc w:val="both"/>
        <w:rPr>
          <w:rFonts w:asciiTheme="minorHAnsi" w:hAnsiTheme="minorHAnsi" w:cstheme="minorHAnsi"/>
          <w:sz w:val="24"/>
          <w:szCs w:val="24"/>
        </w:rPr>
      </w:pPr>
    </w:p>
    <w:p w14:paraId="75416EC7" w14:textId="77777777" w:rsidR="004C4F75" w:rsidRPr="00AE56B7" w:rsidRDefault="004C4F75" w:rsidP="009906A7">
      <w:pPr>
        <w:pStyle w:val="Akapitzlist"/>
        <w:numPr>
          <w:ilvl w:val="0"/>
          <w:numId w:val="3"/>
        </w:numPr>
        <w:autoSpaceDE w:val="0"/>
        <w:autoSpaceDN w:val="0"/>
        <w:adjustRightInd w:val="0"/>
        <w:spacing w:line="259" w:lineRule="auto"/>
        <w:ind w:left="-284" w:right="403" w:hanging="283"/>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9906A7">
      <w:pPr>
        <w:autoSpaceDE w:val="0"/>
        <w:autoSpaceDN w:val="0"/>
        <w:adjustRightInd w:val="0"/>
        <w:spacing w:line="259" w:lineRule="auto"/>
        <w:ind w:left="-284" w:right="403"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9906A7">
      <w:pPr>
        <w:autoSpaceDE w:val="0"/>
        <w:autoSpaceDN w:val="0"/>
        <w:adjustRightInd w:val="0"/>
        <w:spacing w:line="259" w:lineRule="auto"/>
        <w:ind w:left="-284" w:right="403"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9906A7">
      <w:pPr>
        <w:pStyle w:val="Akapitzlist"/>
        <w:numPr>
          <w:ilvl w:val="0"/>
          <w:numId w:val="4"/>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349E90D1" w:rsidR="004C4F75" w:rsidRPr="00AE56B7" w:rsidRDefault="004C4F75" w:rsidP="009906A7">
      <w:pPr>
        <w:pStyle w:val="Akapitzlist"/>
        <w:numPr>
          <w:ilvl w:val="0"/>
          <w:numId w:val="4"/>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nie spowodują uszkodzenia używanych urządzeń, a jeśli do takiego uszkodzenia dojdzie </w:t>
      </w:r>
      <w:r w:rsidR="00711CDE">
        <w:rPr>
          <w:rFonts w:asciiTheme="minorHAnsi" w:hAnsiTheme="minorHAnsi" w:cstheme="minorHAnsi"/>
          <w:sz w:val="24"/>
          <w:szCs w:val="24"/>
        </w:rPr>
        <w:br/>
      </w:r>
      <w:bookmarkStart w:id="0" w:name="_GoBack"/>
      <w:bookmarkEnd w:id="0"/>
      <w:r w:rsidRPr="00AE56B7">
        <w:rPr>
          <w:rFonts w:asciiTheme="minorHAnsi" w:hAnsiTheme="minorHAnsi" w:cstheme="minorHAnsi"/>
          <w:sz w:val="24"/>
          <w:szCs w:val="24"/>
        </w:rPr>
        <w:t>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9906A7">
      <w:pPr>
        <w:tabs>
          <w:tab w:val="num" w:pos="426"/>
        </w:tabs>
        <w:spacing w:line="259" w:lineRule="auto"/>
        <w:ind w:left="-284" w:right="403" w:hanging="426"/>
        <w:jc w:val="both"/>
        <w:rPr>
          <w:rFonts w:asciiTheme="minorHAnsi" w:hAnsiTheme="minorHAnsi" w:cstheme="minorHAnsi"/>
          <w:sz w:val="24"/>
          <w:szCs w:val="24"/>
        </w:rPr>
      </w:pPr>
    </w:p>
    <w:p w14:paraId="04794E91" w14:textId="77777777" w:rsidR="00E0686C" w:rsidRPr="00E0686C" w:rsidRDefault="004C4F75" w:rsidP="009906A7">
      <w:pPr>
        <w:pStyle w:val="Akapitzlist"/>
        <w:numPr>
          <w:ilvl w:val="0"/>
          <w:numId w:val="3"/>
        </w:numPr>
        <w:tabs>
          <w:tab w:val="clear" w:pos="720"/>
          <w:tab w:val="num" w:pos="284"/>
        </w:tabs>
        <w:autoSpaceDE w:val="0"/>
        <w:autoSpaceDN w:val="0"/>
        <w:adjustRightInd w:val="0"/>
        <w:spacing w:line="259" w:lineRule="auto"/>
        <w:ind w:left="-284" w:right="403" w:hanging="283"/>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9906A7">
      <w:pPr>
        <w:autoSpaceDE w:val="0"/>
        <w:autoSpaceDN w:val="0"/>
        <w:adjustRightInd w:val="0"/>
        <w:spacing w:line="259" w:lineRule="auto"/>
        <w:ind w:left="-284" w:right="403"/>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669CF12" w14:textId="170CD2EF" w:rsidR="00AE56B7" w:rsidRDefault="00AE56B7" w:rsidP="00711CDE">
      <w:pPr>
        <w:autoSpaceDE w:val="0"/>
        <w:autoSpaceDN w:val="0"/>
        <w:adjustRightInd w:val="0"/>
        <w:spacing w:line="259" w:lineRule="auto"/>
        <w:ind w:right="403"/>
        <w:jc w:val="both"/>
        <w:rPr>
          <w:rFonts w:asciiTheme="minorHAnsi" w:hAnsiTheme="minorHAnsi" w:cstheme="minorHAnsi"/>
          <w:b/>
          <w:bCs/>
          <w:sz w:val="24"/>
          <w:szCs w:val="24"/>
        </w:rPr>
      </w:pPr>
    </w:p>
    <w:p w14:paraId="3439BF61" w14:textId="77777777" w:rsidR="003D3797" w:rsidRPr="00AE56B7" w:rsidRDefault="003D3797" w:rsidP="009906A7">
      <w:pPr>
        <w:autoSpaceDE w:val="0"/>
        <w:autoSpaceDN w:val="0"/>
        <w:adjustRightInd w:val="0"/>
        <w:spacing w:line="259" w:lineRule="auto"/>
        <w:ind w:left="-284" w:right="403"/>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906A7">
      <w:pPr>
        <w:tabs>
          <w:tab w:val="left" w:pos="284"/>
        </w:tabs>
        <w:autoSpaceDE w:val="0"/>
        <w:autoSpaceDN w:val="0"/>
        <w:adjustRightInd w:val="0"/>
        <w:spacing w:line="259" w:lineRule="auto"/>
        <w:ind w:left="-284" w:right="403"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p w14:paraId="27D56D09" w14:textId="77777777" w:rsidR="00AE56B7" w:rsidRPr="00AE56B7" w:rsidRDefault="00AE56B7" w:rsidP="009906A7">
      <w:pPr>
        <w:autoSpaceDE w:val="0"/>
        <w:autoSpaceDN w:val="0"/>
        <w:adjustRightInd w:val="0"/>
        <w:spacing w:line="259" w:lineRule="auto"/>
        <w:ind w:left="-284" w:right="403"/>
        <w:jc w:val="both"/>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819"/>
        <w:gridCol w:w="2321"/>
      </w:tblGrid>
      <w:tr w:rsidR="004C4F75" w:rsidRPr="00AE56B7" w14:paraId="6A5A88B7" w14:textId="77777777" w:rsidTr="006B460B">
        <w:trPr>
          <w:jc w:val="center"/>
        </w:trPr>
        <w:tc>
          <w:tcPr>
            <w:tcW w:w="846" w:type="dxa"/>
          </w:tcPr>
          <w:p w14:paraId="41C4C07F" w14:textId="77777777" w:rsidR="004C4F75" w:rsidRPr="00AE56B7" w:rsidRDefault="004C4F75" w:rsidP="006B460B">
            <w:pPr>
              <w:tabs>
                <w:tab w:val="left" w:pos="164"/>
              </w:tabs>
              <w:spacing w:line="259" w:lineRule="auto"/>
              <w:ind w:left="-284" w:right="403" w:firstLine="111"/>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4819" w:type="dxa"/>
          </w:tcPr>
          <w:p w14:paraId="341993E4" w14:textId="77777777" w:rsidR="004C4F75" w:rsidRPr="00AE56B7" w:rsidRDefault="004C4F75" w:rsidP="006B460B">
            <w:pPr>
              <w:tabs>
                <w:tab w:val="num" w:pos="284"/>
              </w:tabs>
              <w:spacing w:line="259" w:lineRule="auto"/>
              <w:ind w:left="-284" w:right="-105"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2321" w:type="dxa"/>
          </w:tcPr>
          <w:p w14:paraId="544B5DCE" w14:textId="77777777" w:rsidR="004C4F75" w:rsidRPr="00AE56B7" w:rsidRDefault="004C4F75" w:rsidP="00711CDE">
            <w:pPr>
              <w:tabs>
                <w:tab w:val="num" w:pos="284"/>
              </w:tabs>
              <w:spacing w:line="259" w:lineRule="auto"/>
              <w:ind w:left="-284" w:right="-189"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460B">
        <w:trPr>
          <w:jc w:val="center"/>
        </w:trPr>
        <w:tc>
          <w:tcPr>
            <w:tcW w:w="846" w:type="dxa"/>
          </w:tcPr>
          <w:p w14:paraId="2E3BCF5D" w14:textId="77777777" w:rsidR="004C4F75" w:rsidRPr="00AE56B7" w:rsidRDefault="004C4F75" w:rsidP="006B460B">
            <w:pPr>
              <w:tabs>
                <w:tab w:val="left" w:pos="164"/>
              </w:tabs>
              <w:spacing w:line="259" w:lineRule="auto"/>
              <w:ind w:left="-284" w:right="403" w:firstLine="111"/>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4819" w:type="dxa"/>
          </w:tcPr>
          <w:p w14:paraId="478EF86E" w14:textId="77777777" w:rsidR="004C4F75" w:rsidRPr="00AE56B7" w:rsidRDefault="004C4F75" w:rsidP="006B460B">
            <w:pPr>
              <w:tabs>
                <w:tab w:val="num" w:pos="284"/>
              </w:tabs>
              <w:spacing w:line="259" w:lineRule="auto"/>
              <w:ind w:left="-284" w:right="-105"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2321" w:type="dxa"/>
          </w:tcPr>
          <w:p w14:paraId="52DD5F0A" w14:textId="77777777" w:rsidR="004C4F75" w:rsidRPr="00AE56B7" w:rsidRDefault="004C4F75" w:rsidP="00711CDE">
            <w:pPr>
              <w:tabs>
                <w:tab w:val="num" w:pos="284"/>
              </w:tabs>
              <w:spacing w:line="259" w:lineRule="auto"/>
              <w:ind w:left="-284" w:right="-189"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460B">
        <w:trPr>
          <w:jc w:val="center"/>
        </w:trPr>
        <w:tc>
          <w:tcPr>
            <w:tcW w:w="846" w:type="dxa"/>
          </w:tcPr>
          <w:p w14:paraId="70839F5E" w14:textId="77777777" w:rsidR="004C4F75" w:rsidRPr="00AE56B7" w:rsidRDefault="004C4F75" w:rsidP="006B460B">
            <w:pPr>
              <w:tabs>
                <w:tab w:val="left" w:pos="164"/>
              </w:tabs>
              <w:spacing w:line="259" w:lineRule="auto"/>
              <w:ind w:left="-284" w:right="403" w:firstLine="111"/>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4819" w:type="dxa"/>
          </w:tcPr>
          <w:p w14:paraId="0485D0AA" w14:textId="77777777" w:rsidR="004C4F75" w:rsidRPr="00AE56B7" w:rsidRDefault="004C4F75" w:rsidP="006B460B">
            <w:pPr>
              <w:tabs>
                <w:tab w:val="num" w:pos="284"/>
              </w:tabs>
              <w:spacing w:line="259" w:lineRule="auto"/>
              <w:ind w:left="-284" w:right="-105"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2321" w:type="dxa"/>
          </w:tcPr>
          <w:p w14:paraId="1CA2B272" w14:textId="77777777" w:rsidR="004C4F75" w:rsidRPr="00AE56B7" w:rsidRDefault="004C4F75" w:rsidP="00711CDE">
            <w:pPr>
              <w:tabs>
                <w:tab w:val="num" w:pos="284"/>
              </w:tabs>
              <w:spacing w:line="259" w:lineRule="auto"/>
              <w:ind w:left="-284" w:right="-189"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460B">
        <w:trPr>
          <w:jc w:val="center"/>
        </w:trPr>
        <w:tc>
          <w:tcPr>
            <w:tcW w:w="846" w:type="dxa"/>
          </w:tcPr>
          <w:p w14:paraId="4B78DCBA" w14:textId="77777777" w:rsidR="004C4F75" w:rsidRPr="00AE56B7" w:rsidRDefault="004C4F75" w:rsidP="006B460B">
            <w:pPr>
              <w:tabs>
                <w:tab w:val="left" w:pos="164"/>
              </w:tabs>
              <w:spacing w:line="259" w:lineRule="auto"/>
              <w:ind w:left="-284" w:right="403" w:firstLine="111"/>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4819" w:type="dxa"/>
          </w:tcPr>
          <w:p w14:paraId="76B8B092" w14:textId="77777777" w:rsidR="004C4F75" w:rsidRPr="00AE56B7" w:rsidRDefault="004C4F75" w:rsidP="006B460B">
            <w:pPr>
              <w:tabs>
                <w:tab w:val="num" w:pos="284"/>
              </w:tabs>
              <w:spacing w:line="259" w:lineRule="auto"/>
              <w:ind w:left="-284" w:right="-105"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2321" w:type="dxa"/>
          </w:tcPr>
          <w:p w14:paraId="265ACB8C" w14:textId="77777777" w:rsidR="004C4F75" w:rsidRPr="00AE56B7" w:rsidRDefault="004C4F75" w:rsidP="00711CDE">
            <w:pPr>
              <w:tabs>
                <w:tab w:val="num" w:pos="284"/>
              </w:tabs>
              <w:spacing w:line="259" w:lineRule="auto"/>
              <w:ind w:left="-284" w:right="-189"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460B">
        <w:trPr>
          <w:jc w:val="center"/>
        </w:trPr>
        <w:tc>
          <w:tcPr>
            <w:tcW w:w="846" w:type="dxa"/>
          </w:tcPr>
          <w:p w14:paraId="15FB0CBD" w14:textId="77777777" w:rsidR="004C4F75" w:rsidRPr="00AE56B7" w:rsidRDefault="004C4F75" w:rsidP="006B460B">
            <w:pPr>
              <w:tabs>
                <w:tab w:val="left" w:pos="164"/>
              </w:tabs>
              <w:spacing w:line="259" w:lineRule="auto"/>
              <w:ind w:left="-284" w:right="403" w:firstLine="111"/>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4819" w:type="dxa"/>
          </w:tcPr>
          <w:p w14:paraId="5B245C4A" w14:textId="77777777" w:rsidR="004C4F75" w:rsidRPr="00AE56B7" w:rsidRDefault="004C4F75" w:rsidP="006B460B">
            <w:pPr>
              <w:tabs>
                <w:tab w:val="num" w:pos="284"/>
              </w:tabs>
              <w:spacing w:line="259" w:lineRule="auto"/>
              <w:ind w:left="-284" w:right="-105"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2321" w:type="dxa"/>
          </w:tcPr>
          <w:p w14:paraId="1CF5747A" w14:textId="77777777" w:rsidR="004C4F75" w:rsidRPr="00AE56B7" w:rsidRDefault="004C4F75" w:rsidP="00711CDE">
            <w:pPr>
              <w:tabs>
                <w:tab w:val="num" w:pos="284"/>
              </w:tabs>
              <w:spacing w:line="259" w:lineRule="auto"/>
              <w:ind w:left="-284" w:right="-189"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460B">
        <w:trPr>
          <w:jc w:val="center"/>
        </w:trPr>
        <w:tc>
          <w:tcPr>
            <w:tcW w:w="846" w:type="dxa"/>
          </w:tcPr>
          <w:p w14:paraId="10270E79" w14:textId="77777777" w:rsidR="004C4F75" w:rsidRPr="00AE56B7" w:rsidRDefault="004C4F75" w:rsidP="006B460B">
            <w:pPr>
              <w:tabs>
                <w:tab w:val="left" w:pos="164"/>
              </w:tabs>
              <w:spacing w:line="259" w:lineRule="auto"/>
              <w:ind w:left="-284" w:right="403" w:firstLine="111"/>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4819" w:type="dxa"/>
          </w:tcPr>
          <w:p w14:paraId="4562E37E" w14:textId="77777777" w:rsidR="004C4F75" w:rsidRPr="00AE56B7" w:rsidRDefault="004C4F75" w:rsidP="006B460B">
            <w:pPr>
              <w:tabs>
                <w:tab w:val="num" w:pos="284"/>
              </w:tabs>
              <w:spacing w:line="259" w:lineRule="auto"/>
              <w:ind w:left="-284" w:right="-105"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2321" w:type="dxa"/>
          </w:tcPr>
          <w:p w14:paraId="7DBE20B3" w14:textId="77777777" w:rsidR="004C4F75" w:rsidRPr="00AE56B7" w:rsidRDefault="004C4F75" w:rsidP="00711CDE">
            <w:pPr>
              <w:tabs>
                <w:tab w:val="num" w:pos="284"/>
              </w:tabs>
              <w:spacing w:line="259" w:lineRule="auto"/>
              <w:ind w:left="-284" w:right="-189"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9906A7">
      <w:pPr>
        <w:pStyle w:val="Akapitzlist"/>
        <w:numPr>
          <w:ilvl w:val="0"/>
          <w:numId w:val="13"/>
        </w:numPr>
        <w:tabs>
          <w:tab w:val="num" w:pos="0"/>
        </w:tabs>
        <w:spacing w:line="259" w:lineRule="auto"/>
        <w:ind w:left="-284" w:right="403"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9906A7">
      <w:pPr>
        <w:spacing w:line="259" w:lineRule="auto"/>
        <w:ind w:left="-284" w:right="403"/>
        <w:jc w:val="both"/>
        <w:rPr>
          <w:rFonts w:asciiTheme="minorHAnsi" w:hAnsiTheme="minorHAnsi" w:cstheme="minorHAnsi"/>
          <w:sz w:val="24"/>
          <w:szCs w:val="24"/>
        </w:rPr>
      </w:pPr>
    </w:p>
    <w:p w14:paraId="67363B93" w14:textId="77777777" w:rsidR="004C4F75" w:rsidRPr="00AE56B7" w:rsidRDefault="004C4F75" w:rsidP="009906A7">
      <w:pPr>
        <w:numPr>
          <w:ilvl w:val="0"/>
          <w:numId w:val="8"/>
        </w:numPr>
        <w:tabs>
          <w:tab w:val="clear" w:pos="4527"/>
          <w:tab w:val="num" w:pos="567"/>
        </w:tabs>
        <w:spacing w:line="259" w:lineRule="auto"/>
        <w:ind w:left="-284" w:right="403"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9906A7">
      <w:pPr>
        <w:tabs>
          <w:tab w:val="num" w:pos="567"/>
        </w:tabs>
        <w:spacing w:line="259" w:lineRule="auto"/>
        <w:ind w:left="-284" w:right="403"/>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9906A7">
      <w:pPr>
        <w:tabs>
          <w:tab w:val="num" w:pos="567"/>
        </w:tabs>
        <w:spacing w:line="259" w:lineRule="auto"/>
        <w:ind w:left="-284" w:right="403"/>
        <w:jc w:val="both"/>
        <w:rPr>
          <w:rFonts w:asciiTheme="minorHAnsi" w:hAnsiTheme="minorHAnsi" w:cstheme="minorHAnsi"/>
          <w:b/>
          <w:bCs/>
          <w:sz w:val="24"/>
          <w:szCs w:val="24"/>
        </w:rPr>
      </w:pPr>
    </w:p>
    <w:p w14:paraId="78F0C7D1" w14:textId="77777777" w:rsidR="004C4F75" w:rsidRPr="00AE56B7" w:rsidRDefault="004C4F75" w:rsidP="009906A7">
      <w:pPr>
        <w:numPr>
          <w:ilvl w:val="0"/>
          <w:numId w:val="10"/>
        </w:numPr>
        <w:tabs>
          <w:tab w:val="clear" w:pos="1107"/>
          <w:tab w:val="num" w:pos="567"/>
        </w:tabs>
        <w:spacing w:line="259" w:lineRule="auto"/>
        <w:ind w:left="-284" w:right="403"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9906A7">
      <w:pPr>
        <w:pStyle w:val="Akapitzlist"/>
        <w:numPr>
          <w:ilvl w:val="0"/>
          <w:numId w:val="11"/>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9906A7">
      <w:pPr>
        <w:pStyle w:val="Akapitzlist"/>
        <w:numPr>
          <w:ilvl w:val="0"/>
          <w:numId w:val="11"/>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9906A7">
      <w:p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9906A7">
      <w:pPr>
        <w:spacing w:line="259" w:lineRule="auto"/>
        <w:ind w:left="-284" w:right="403"/>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9906A7">
      <w:pPr>
        <w:spacing w:line="259" w:lineRule="auto"/>
        <w:ind w:left="-284" w:right="403"/>
        <w:jc w:val="both"/>
        <w:rPr>
          <w:rFonts w:asciiTheme="minorHAnsi" w:hAnsiTheme="minorHAnsi" w:cstheme="minorHAnsi"/>
          <w:sz w:val="24"/>
          <w:szCs w:val="24"/>
        </w:rPr>
      </w:pPr>
    </w:p>
    <w:p w14:paraId="303E9A8D" w14:textId="77777777" w:rsidR="004C4F75" w:rsidRPr="00AE56B7" w:rsidRDefault="004C4F75" w:rsidP="009906A7">
      <w:pPr>
        <w:numPr>
          <w:ilvl w:val="0"/>
          <w:numId w:val="10"/>
        </w:numPr>
        <w:tabs>
          <w:tab w:val="clear" w:pos="1107"/>
          <w:tab w:val="num" w:pos="567"/>
        </w:tabs>
        <w:spacing w:line="259" w:lineRule="auto"/>
        <w:ind w:left="-284" w:right="403"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9906A7">
      <w:pPr>
        <w:pStyle w:val="Akapitzlist"/>
        <w:numPr>
          <w:ilvl w:val="0"/>
          <w:numId w:val="11"/>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9906A7">
      <w:pPr>
        <w:pStyle w:val="Akapitzlist"/>
        <w:numPr>
          <w:ilvl w:val="0"/>
          <w:numId w:val="11"/>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9906A7">
      <w:p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9906A7">
      <w:pPr>
        <w:spacing w:line="259" w:lineRule="auto"/>
        <w:ind w:left="-284" w:right="403"/>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9906A7">
      <w:pPr>
        <w:spacing w:line="259" w:lineRule="auto"/>
        <w:ind w:left="-284" w:right="403"/>
        <w:jc w:val="both"/>
        <w:rPr>
          <w:rFonts w:asciiTheme="minorHAnsi" w:hAnsiTheme="minorHAnsi" w:cstheme="minorHAnsi"/>
          <w:sz w:val="24"/>
          <w:szCs w:val="24"/>
        </w:rPr>
      </w:pPr>
    </w:p>
    <w:p w14:paraId="2EE44AAE" w14:textId="77777777" w:rsidR="004C4F75" w:rsidRPr="00AE56B7" w:rsidRDefault="004C4F75" w:rsidP="009906A7">
      <w:pPr>
        <w:numPr>
          <w:ilvl w:val="0"/>
          <w:numId w:val="10"/>
        </w:numPr>
        <w:tabs>
          <w:tab w:val="clear" w:pos="1107"/>
          <w:tab w:val="num" w:pos="567"/>
        </w:tabs>
        <w:spacing w:line="259" w:lineRule="auto"/>
        <w:ind w:left="-284" w:right="403"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9906A7">
      <w:pPr>
        <w:pStyle w:val="Akapitzlist"/>
        <w:numPr>
          <w:ilvl w:val="0"/>
          <w:numId w:val="9"/>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9906A7">
      <w:pPr>
        <w:pStyle w:val="Akapitzlist"/>
        <w:numPr>
          <w:ilvl w:val="0"/>
          <w:numId w:val="9"/>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9906A7">
      <w:pPr>
        <w:pStyle w:val="Akapitzlist"/>
        <w:numPr>
          <w:ilvl w:val="0"/>
          <w:numId w:val="9"/>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9906A7">
      <w:pPr>
        <w:tabs>
          <w:tab w:val="num" w:pos="567"/>
          <w:tab w:val="num" w:pos="851"/>
        </w:tabs>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77777777" w:rsidR="004C4F75" w:rsidRPr="00AE56B7" w:rsidRDefault="004C4F75" w:rsidP="009906A7">
      <w:pPr>
        <w:spacing w:line="259" w:lineRule="auto"/>
        <w:ind w:left="-284" w:right="403"/>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7FEEA84" w14:textId="77777777" w:rsidR="004C4F75" w:rsidRPr="00AE56B7" w:rsidRDefault="004C4F75" w:rsidP="009906A7">
      <w:pPr>
        <w:numPr>
          <w:ilvl w:val="0"/>
          <w:numId w:val="10"/>
        </w:numPr>
        <w:tabs>
          <w:tab w:val="clear" w:pos="1107"/>
          <w:tab w:val="num" w:pos="567"/>
        </w:tabs>
        <w:spacing w:line="259" w:lineRule="auto"/>
        <w:ind w:left="-284" w:right="403"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w zakresie tego kryterium oceniane będzie zaoferowanie jak najwyższego upustu procentowego 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9906A7">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9906A7">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9906A7">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9906A7">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9906A7">
      <w:pPr>
        <w:pStyle w:val="Akapitzlist"/>
        <w:numPr>
          <w:ilvl w:val="0"/>
          <w:numId w:val="12"/>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77777777" w:rsidR="004C4F75" w:rsidRPr="00AE56B7" w:rsidRDefault="004C4F75" w:rsidP="009906A7">
      <w:pPr>
        <w:tabs>
          <w:tab w:val="num" w:pos="567"/>
          <w:tab w:val="num" w:pos="851"/>
        </w:tabs>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 Upust) Zamawiający przyjmie, że nie zaoferowano żadnego upustu.</w:t>
      </w:r>
    </w:p>
    <w:p w14:paraId="01B8AF9B" w14:textId="77777777" w:rsidR="004C4F75" w:rsidRPr="00AE56B7" w:rsidRDefault="004C4F75" w:rsidP="009906A7">
      <w:pPr>
        <w:spacing w:line="259" w:lineRule="auto"/>
        <w:ind w:left="-284" w:right="403"/>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9906A7">
      <w:pPr>
        <w:spacing w:line="259" w:lineRule="auto"/>
        <w:ind w:left="-284" w:right="403"/>
        <w:jc w:val="both"/>
        <w:rPr>
          <w:rFonts w:asciiTheme="minorHAnsi" w:hAnsiTheme="minorHAnsi" w:cstheme="minorHAnsi"/>
          <w:sz w:val="24"/>
          <w:szCs w:val="24"/>
        </w:rPr>
      </w:pPr>
    </w:p>
    <w:p w14:paraId="0FDF991A" w14:textId="648A5334" w:rsidR="004C4F75" w:rsidRPr="00AE56B7" w:rsidRDefault="004C4F75" w:rsidP="009906A7">
      <w:pPr>
        <w:pStyle w:val="Akapitzlist"/>
        <w:numPr>
          <w:ilvl w:val="0"/>
          <w:numId w:val="13"/>
        </w:numPr>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lastRenderedPageBreak/>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9906A7">
      <w:pPr>
        <w:autoSpaceDE w:val="0"/>
        <w:autoSpaceDN w:val="0"/>
        <w:adjustRightInd w:val="0"/>
        <w:spacing w:line="259" w:lineRule="auto"/>
        <w:ind w:left="-284" w:right="403"/>
        <w:jc w:val="both"/>
        <w:rPr>
          <w:rFonts w:asciiTheme="minorHAnsi" w:hAnsiTheme="minorHAnsi" w:cstheme="minorHAnsi"/>
          <w:b/>
          <w:bCs/>
          <w:color w:val="FF0000"/>
          <w:sz w:val="24"/>
          <w:szCs w:val="24"/>
        </w:rPr>
      </w:pPr>
    </w:p>
    <w:p w14:paraId="1B92E2A5" w14:textId="20E2DEAC" w:rsidR="00EB537D" w:rsidRPr="00AE56B7" w:rsidRDefault="003D3797" w:rsidP="009906A7">
      <w:pPr>
        <w:autoSpaceDE w:val="0"/>
        <w:autoSpaceDN w:val="0"/>
        <w:adjustRightInd w:val="0"/>
        <w:spacing w:line="259" w:lineRule="auto"/>
        <w:ind w:left="-284" w:right="403"/>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9906A7">
      <w:pPr>
        <w:numPr>
          <w:ilvl w:val="0"/>
          <w:numId w:val="1"/>
        </w:numPr>
        <w:autoSpaceDE w:val="0"/>
        <w:autoSpaceDN w:val="0"/>
        <w:adjustRightInd w:val="0"/>
        <w:spacing w:line="259" w:lineRule="auto"/>
        <w:ind w:left="-284" w:right="403"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9906A7">
      <w:pPr>
        <w:numPr>
          <w:ilvl w:val="0"/>
          <w:numId w:val="1"/>
        </w:numPr>
        <w:autoSpaceDE w:val="0"/>
        <w:autoSpaceDN w:val="0"/>
        <w:adjustRightInd w:val="0"/>
        <w:spacing w:line="259" w:lineRule="auto"/>
        <w:ind w:left="-284" w:right="403"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9906A7">
      <w:pPr>
        <w:numPr>
          <w:ilvl w:val="0"/>
          <w:numId w:val="1"/>
        </w:numPr>
        <w:autoSpaceDE w:val="0"/>
        <w:autoSpaceDN w:val="0"/>
        <w:adjustRightInd w:val="0"/>
        <w:spacing w:line="259" w:lineRule="auto"/>
        <w:ind w:left="-284" w:right="403"/>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18B14B03" w:rsidR="00EB537D" w:rsidRPr="00AE56B7" w:rsidRDefault="00EB537D" w:rsidP="009906A7">
      <w:pPr>
        <w:numPr>
          <w:ilvl w:val="0"/>
          <w:numId w:val="1"/>
        </w:numPr>
        <w:autoSpaceDE w:val="0"/>
        <w:autoSpaceDN w:val="0"/>
        <w:adjustRightInd w:val="0"/>
        <w:spacing w:line="259" w:lineRule="auto"/>
        <w:ind w:left="-284" w:right="403"/>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264BBF" w:rsidRPr="00264BBF">
        <w:rPr>
          <w:rFonts w:asciiTheme="minorHAnsi" w:hAnsiTheme="minorHAnsi" w:cstheme="minorHAnsi"/>
          <w:sz w:val="24"/>
          <w:szCs w:val="24"/>
          <w:u w:val="single"/>
        </w:rPr>
        <w:t xml:space="preserve">dczynników laboratoryjnych </w:t>
      </w:r>
      <w:r w:rsidR="003D3178">
        <w:rPr>
          <w:rFonts w:asciiTheme="minorHAnsi" w:hAnsiTheme="minorHAnsi" w:cstheme="minorHAnsi"/>
          <w:sz w:val="24"/>
          <w:szCs w:val="24"/>
          <w:u w:val="single"/>
        </w:rPr>
        <w:t xml:space="preserve">BIOSHOP </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9906A7">
      <w:pPr>
        <w:numPr>
          <w:ilvl w:val="0"/>
          <w:numId w:val="1"/>
        </w:numPr>
        <w:autoSpaceDE w:val="0"/>
        <w:autoSpaceDN w:val="0"/>
        <w:adjustRightInd w:val="0"/>
        <w:spacing w:line="259" w:lineRule="auto"/>
        <w:ind w:left="-284" w:right="403"/>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9906A7">
      <w:pPr>
        <w:autoSpaceDE w:val="0"/>
        <w:autoSpaceDN w:val="0"/>
        <w:adjustRightInd w:val="0"/>
        <w:spacing w:line="259" w:lineRule="auto"/>
        <w:ind w:left="-284" w:right="403"/>
        <w:jc w:val="both"/>
        <w:rPr>
          <w:rFonts w:asciiTheme="minorHAnsi" w:hAnsiTheme="minorHAnsi" w:cstheme="minorHAnsi"/>
          <w:sz w:val="24"/>
          <w:szCs w:val="24"/>
        </w:rPr>
      </w:pPr>
    </w:p>
    <w:p w14:paraId="5289E2D0" w14:textId="77777777" w:rsidR="00EB537D" w:rsidRPr="00AE56B7" w:rsidRDefault="006E711A" w:rsidP="009906A7">
      <w:pPr>
        <w:autoSpaceDE w:val="0"/>
        <w:autoSpaceDN w:val="0"/>
        <w:adjustRightInd w:val="0"/>
        <w:spacing w:line="259" w:lineRule="auto"/>
        <w:ind w:left="-284" w:right="403"/>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9906A7">
      <w:pPr>
        <w:pStyle w:val="Akapitzlist"/>
        <w:numPr>
          <w:ilvl w:val="0"/>
          <w:numId w:val="2"/>
        </w:numPr>
        <w:tabs>
          <w:tab w:val="clear" w:pos="720"/>
          <w:tab w:val="num" w:pos="426"/>
        </w:tabs>
        <w:autoSpaceDE w:val="0"/>
        <w:autoSpaceDN w:val="0"/>
        <w:adjustRightInd w:val="0"/>
        <w:spacing w:line="259" w:lineRule="auto"/>
        <w:ind w:left="-284" w:right="403" w:hanging="425"/>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9906A7">
      <w:pPr>
        <w:numPr>
          <w:ilvl w:val="0"/>
          <w:numId w:val="2"/>
        </w:numPr>
        <w:tabs>
          <w:tab w:val="clear" w:pos="720"/>
          <w:tab w:val="num" w:pos="426"/>
        </w:tabs>
        <w:autoSpaceDE w:val="0"/>
        <w:autoSpaceDN w:val="0"/>
        <w:adjustRightInd w:val="0"/>
        <w:spacing w:line="259" w:lineRule="auto"/>
        <w:ind w:left="-284" w:right="403" w:hanging="425"/>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9906A7">
      <w:pPr>
        <w:numPr>
          <w:ilvl w:val="0"/>
          <w:numId w:val="2"/>
        </w:numPr>
        <w:tabs>
          <w:tab w:val="clear" w:pos="720"/>
          <w:tab w:val="num" w:pos="426"/>
        </w:tabs>
        <w:autoSpaceDE w:val="0"/>
        <w:autoSpaceDN w:val="0"/>
        <w:adjustRightInd w:val="0"/>
        <w:spacing w:line="259" w:lineRule="auto"/>
        <w:ind w:left="-284" w:right="403"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9906A7">
      <w:pPr>
        <w:numPr>
          <w:ilvl w:val="0"/>
          <w:numId w:val="2"/>
        </w:numPr>
        <w:tabs>
          <w:tab w:val="clear" w:pos="720"/>
          <w:tab w:val="num" w:pos="426"/>
        </w:tabs>
        <w:autoSpaceDE w:val="0"/>
        <w:autoSpaceDN w:val="0"/>
        <w:adjustRightInd w:val="0"/>
        <w:spacing w:line="259" w:lineRule="auto"/>
        <w:ind w:left="-284" w:right="403"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33638BF6" w:rsidR="00EB537D" w:rsidRDefault="00EB537D" w:rsidP="009906A7">
      <w:pPr>
        <w:numPr>
          <w:ilvl w:val="0"/>
          <w:numId w:val="2"/>
        </w:numPr>
        <w:tabs>
          <w:tab w:val="clear" w:pos="720"/>
          <w:tab w:val="num" w:pos="426"/>
        </w:tabs>
        <w:autoSpaceDE w:val="0"/>
        <w:autoSpaceDN w:val="0"/>
        <w:adjustRightInd w:val="0"/>
        <w:spacing w:line="259" w:lineRule="auto"/>
        <w:ind w:left="-284" w:right="403"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p</w:t>
      </w:r>
      <w:r w:rsidR="009906A7">
        <w:rPr>
          <w:rFonts w:asciiTheme="minorHAnsi" w:hAnsiTheme="minorHAnsi" w:cstheme="minorHAnsi"/>
          <w:sz w:val="24"/>
          <w:szCs w:val="24"/>
        </w:rPr>
        <w:t xml:space="preserve">rawo do nie wybierania żadnego </w:t>
      </w:r>
      <w:r w:rsidRPr="00AE56B7">
        <w:rPr>
          <w:rFonts w:asciiTheme="minorHAnsi" w:hAnsiTheme="minorHAnsi" w:cstheme="minorHAnsi"/>
          <w:sz w:val="24"/>
          <w:szCs w:val="24"/>
        </w:rPr>
        <w:t>z Wykonawców.</w:t>
      </w:r>
    </w:p>
    <w:p w14:paraId="4C84B93D" w14:textId="32B06850" w:rsidR="001672DD" w:rsidRPr="00711CDE" w:rsidRDefault="0002660F" w:rsidP="00711CDE">
      <w:pPr>
        <w:numPr>
          <w:ilvl w:val="0"/>
          <w:numId w:val="2"/>
        </w:numPr>
        <w:tabs>
          <w:tab w:val="clear" w:pos="720"/>
          <w:tab w:val="num" w:pos="426"/>
        </w:tabs>
        <w:autoSpaceDE w:val="0"/>
        <w:autoSpaceDN w:val="0"/>
        <w:adjustRightInd w:val="0"/>
        <w:spacing w:line="259" w:lineRule="auto"/>
        <w:ind w:left="-284" w:right="403"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w:t>
      </w:r>
      <w:r w:rsidR="00711CDE">
        <w:rPr>
          <w:rFonts w:asciiTheme="minorHAnsi" w:hAnsiTheme="minorHAnsi" w:cstheme="minorHAnsi"/>
          <w:sz w:val="24"/>
          <w:szCs w:val="24"/>
        </w:rPr>
        <w:t>ocznie po zakończeniu procedury.</w:t>
      </w:r>
    </w:p>
    <w:sectPr w:rsidR="001672DD" w:rsidRPr="00711CDE" w:rsidSect="003D3797">
      <w:pgSz w:w="11906" w:h="16838"/>
      <w:pgMar w:top="340" w:right="707" w:bottom="3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2660F"/>
    <w:rsid w:val="0003138C"/>
    <w:rsid w:val="00067F45"/>
    <w:rsid w:val="000A2174"/>
    <w:rsid w:val="000F1DFB"/>
    <w:rsid w:val="00120B2D"/>
    <w:rsid w:val="001672DD"/>
    <w:rsid w:val="00180F6B"/>
    <w:rsid w:val="00186864"/>
    <w:rsid w:val="002001E7"/>
    <w:rsid w:val="00264BBF"/>
    <w:rsid w:val="00286D86"/>
    <w:rsid w:val="00350776"/>
    <w:rsid w:val="00371D9B"/>
    <w:rsid w:val="00385AC8"/>
    <w:rsid w:val="003B0744"/>
    <w:rsid w:val="003C3A4A"/>
    <w:rsid w:val="003D3178"/>
    <w:rsid w:val="003D3797"/>
    <w:rsid w:val="00484B3F"/>
    <w:rsid w:val="00494712"/>
    <w:rsid w:val="004C4F75"/>
    <w:rsid w:val="004D5E71"/>
    <w:rsid w:val="006B460B"/>
    <w:rsid w:val="006B73C3"/>
    <w:rsid w:val="006E711A"/>
    <w:rsid w:val="00711CDE"/>
    <w:rsid w:val="00780AD6"/>
    <w:rsid w:val="007D7EEB"/>
    <w:rsid w:val="007E69F0"/>
    <w:rsid w:val="008204CD"/>
    <w:rsid w:val="00842102"/>
    <w:rsid w:val="008759ED"/>
    <w:rsid w:val="008934D2"/>
    <w:rsid w:val="008957F8"/>
    <w:rsid w:val="008B6BC0"/>
    <w:rsid w:val="0092310C"/>
    <w:rsid w:val="0097750B"/>
    <w:rsid w:val="009906A7"/>
    <w:rsid w:val="009C66F8"/>
    <w:rsid w:val="00A1484C"/>
    <w:rsid w:val="00A649F7"/>
    <w:rsid w:val="00AE56B7"/>
    <w:rsid w:val="00B21058"/>
    <w:rsid w:val="00B21918"/>
    <w:rsid w:val="00B45C62"/>
    <w:rsid w:val="00B56551"/>
    <w:rsid w:val="00BA2877"/>
    <w:rsid w:val="00BA5986"/>
    <w:rsid w:val="00BC2975"/>
    <w:rsid w:val="00BC63D5"/>
    <w:rsid w:val="00DF4D66"/>
    <w:rsid w:val="00E0686C"/>
    <w:rsid w:val="00E4243A"/>
    <w:rsid w:val="00EA6285"/>
    <w:rsid w:val="00EB537D"/>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2019-09-04T11:59:00Z</cp:lastPrinted>
  <dcterms:created xsi:type="dcterms:W3CDTF">2019-09-11T08:04:00Z</dcterms:created>
  <dcterms:modified xsi:type="dcterms:W3CDTF">2019-09-11T08:04:00Z</dcterms:modified>
</cp:coreProperties>
</file>