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Pr="00335208" w:rsidRDefault="003D3797" w:rsidP="00EB537D">
      <w:pPr>
        <w:jc w:val="center"/>
        <w:rPr>
          <w:rFonts w:asciiTheme="minorHAnsi" w:hAnsiTheme="minorHAnsi"/>
          <w:b/>
          <w:sz w:val="22"/>
          <w:szCs w:val="22"/>
        </w:rPr>
      </w:pPr>
      <w:r w:rsidRPr="00335208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Pr="00335208" w:rsidRDefault="00EB537D" w:rsidP="00EB537D">
      <w:pPr>
        <w:rPr>
          <w:rFonts w:asciiTheme="minorHAnsi" w:hAnsiTheme="minorHAnsi"/>
          <w:b/>
          <w:sz w:val="22"/>
          <w:szCs w:val="22"/>
        </w:rPr>
      </w:pPr>
    </w:p>
    <w:p w:rsidR="00EB537D" w:rsidRPr="00335208" w:rsidRDefault="00EB537D" w:rsidP="00EB537D">
      <w:pPr>
        <w:rPr>
          <w:rFonts w:asciiTheme="minorHAnsi" w:hAnsiTheme="minorHAnsi"/>
          <w:noProof/>
          <w:sz w:val="22"/>
          <w:szCs w:val="22"/>
        </w:rPr>
      </w:pPr>
    </w:p>
    <w:p w:rsidR="00EB537D" w:rsidRPr="00335208" w:rsidRDefault="00EB537D" w:rsidP="00EB537D">
      <w:pPr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:rsidR="00EB537D" w:rsidRPr="00335208" w:rsidRDefault="00EB537D" w:rsidP="00EB537D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335208" w:rsidRDefault="00335208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335208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Warsaw, day</w:t>
      </w:r>
      <w:r w:rsidR="007C7F39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2</w:t>
      </w:r>
      <w:r w:rsidR="00CC118B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7C7F39" w:rsidRPr="00335208">
        <w:rPr>
          <w:rFonts w:asciiTheme="minorHAnsi" w:hAnsiTheme="minorHAnsi" w:cstheme="minorHAnsi"/>
          <w:sz w:val="22"/>
          <w:szCs w:val="22"/>
          <w:lang w:val="en-US"/>
        </w:rPr>
        <w:t>.04.2020</w:t>
      </w:r>
    </w:p>
    <w:p w:rsidR="00EB537D" w:rsidRPr="00335208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335208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 xml:space="preserve">Request for quotation No. </w:t>
      </w:r>
      <w:r w:rsidR="00CC118B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49</w:t>
      </w:r>
      <w:r w:rsidRPr="00335208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/</w:t>
      </w:r>
      <w:r w:rsidR="00CC118B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2020</w:t>
      </w:r>
    </w:p>
    <w:p w:rsidR="00EB537D" w:rsidRPr="00335208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for the service</w:t>
      </w:r>
    </w:p>
    <w:p w:rsidR="00EB537D" w:rsidRPr="00335208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335208" w:rsidRDefault="00B21EC4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335208">
        <w:rPr>
          <w:rFonts w:asciiTheme="minorHAnsi" w:hAnsiTheme="minorHAnsi" w:cs="Calibri"/>
          <w:b/>
          <w:sz w:val="22"/>
          <w:szCs w:val="22"/>
          <w:lang w:val="en-US"/>
        </w:rPr>
        <w:t>routine rodent health monitoring mice and rats, acc. FELASA</w:t>
      </w:r>
      <w:r w:rsidRPr="00335208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</w:p>
    <w:p w:rsidR="00EB537D" w:rsidRPr="00335208" w:rsidRDefault="00B21EC4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to</w:t>
      </w:r>
      <w:r w:rsidR="00EB537D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proofErr w:type="spellStart"/>
      <w:r w:rsidR="00EB537D" w:rsidRPr="00335208">
        <w:rPr>
          <w:rFonts w:asciiTheme="minorHAnsi" w:hAnsiTheme="minorHAnsi" w:cstheme="minorHAnsi"/>
          <w:sz w:val="22"/>
          <w:szCs w:val="22"/>
          <w:lang w:val="en-US"/>
        </w:rPr>
        <w:t>Marceli</w:t>
      </w:r>
      <w:proofErr w:type="spellEnd"/>
      <w:r w:rsidR="00EB537D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B537D" w:rsidRPr="00335208">
        <w:rPr>
          <w:rFonts w:asciiTheme="minorHAnsi" w:hAnsiTheme="minorHAnsi" w:cstheme="minorHAnsi"/>
          <w:sz w:val="22"/>
          <w:szCs w:val="22"/>
          <w:lang w:val="en-US"/>
        </w:rPr>
        <w:t>Nencki</w:t>
      </w:r>
      <w:proofErr w:type="spellEnd"/>
      <w:r w:rsidR="00EB537D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Institute of Experimental Biology</w:t>
      </w:r>
    </w:p>
    <w:p w:rsidR="00EB537D" w:rsidRPr="00335208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Polish Academy of Sciences</w:t>
      </w:r>
    </w:p>
    <w:p w:rsidR="00EB537D" w:rsidRPr="00335208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33520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Ordering party: </w:t>
      </w: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Institute of Experimental Biology named after M. </w:t>
      </w:r>
      <w:proofErr w:type="spellStart"/>
      <w:r w:rsidRPr="00335208">
        <w:rPr>
          <w:rFonts w:asciiTheme="minorHAnsi" w:hAnsiTheme="minorHAnsi" w:cstheme="minorHAnsi"/>
          <w:sz w:val="22"/>
          <w:szCs w:val="22"/>
          <w:lang w:val="en-US"/>
        </w:rPr>
        <w:t>Nencki</w:t>
      </w:r>
      <w:proofErr w:type="spellEnd"/>
      <w:r w:rsidRPr="00335208">
        <w:rPr>
          <w:rFonts w:asciiTheme="minorHAnsi" w:hAnsiTheme="minorHAnsi" w:cstheme="minorHAnsi"/>
          <w:sz w:val="22"/>
          <w:szCs w:val="22"/>
          <w:lang w:val="en-US"/>
        </w:rPr>
        <w:t>, Polish Academy of Sciences,</w:t>
      </w:r>
    </w:p>
    <w:p w:rsidR="00EB537D" w:rsidRPr="0033520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with its registered office at 3 </w:t>
      </w:r>
      <w:proofErr w:type="spellStart"/>
      <w:r w:rsidRPr="00335208">
        <w:rPr>
          <w:rFonts w:asciiTheme="minorHAnsi" w:hAnsiTheme="minorHAnsi" w:cstheme="minorHAnsi"/>
          <w:sz w:val="22"/>
          <w:szCs w:val="22"/>
          <w:lang w:val="en-US"/>
        </w:rPr>
        <w:t>Pasteura</w:t>
      </w:r>
      <w:proofErr w:type="spellEnd"/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Street, Warsaw (02-093), NIP:525-000-92-69, REGON 000325825</w:t>
      </w:r>
    </w:p>
    <w:p w:rsidR="00EB537D" w:rsidRPr="0033520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33520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Contact person for the contract: </w:t>
      </w:r>
      <w:r w:rsidR="00722FB2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Anna </w:t>
      </w:r>
      <w:proofErr w:type="spellStart"/>
      <w:r w:rsidR="00722FB2" w:rsidRPr="00335208">
        <w:rPr>
          <w:rFonts w:asciiTheme="minorHAnsi" w:hAnsiTheme="minorHAnsi" w:cstheme="minorHAnsi"/>
          <w:sz w:val="22"/>
          <w:szCs w:val="22"/>
          <w:lang w:val="en-US"/>
        </w:rPr>
        <w:t>Zajfert</w:t>
      </w:r>
      <w:proofErr w:type="spellEnd"/>
    </w:p>
    <w:p w:rsidR="00EB537D" w:rsidRPr="0033520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722FB2" w:rsidRPr="00335208">
        <w:rPr>
          <w:rFonts w:asciiTheme="minorHAnsi" w:hAnsiTheme="minorHAnsi" w:cstheme="minorHAnsi"/>
          <w:sz w:val="22"/>
          <w:szCs w:val="22"/>
          <w:lang w:val="en-US"/>
        </w:rPr>
        <w:t>a.zajfert@nencki.edu.pl</w:t>
      </w:r>
    </w:p>
    <w:p w:rsidR="00EB537D" w:rsidRPr="00335208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Deadline for submission of tenders: </w:t>
      </w:r>
      <w:r w:rsidRP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>no later than</w:t>
      </w:r>
      <w:r w:rsidR="00CC118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by 29</w:t>
      </w:r>
      <w:bookmarkStart w:id="0" w:name="_GoBack"/>
      <w:bookmarkEnd w:id="0"/>
      <w:r w:rsid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>.04.2020</w:t>
      </w:r>
    </w:p>
    <w:p w:rsidR="00EB537D" w:rsidRPr="00335208" w:rsidRDefault="00EB537D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>I. Description of the subject matter of the contract:</w:t>
      </w:r>
    </w:p>
    <w:p w:rsidR="00722FB2" w:rsidRPr="0033520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The subject of the contract is: </w:t>
      </w:r>
    </w:p>
    <w:p w:rsidR="001E1657" w:rsidRPr="00335208" w:rsidRDefault="001E1657" w:rsidP="00722FB2">
      <w:pPr>
        <w:pStyle w:val="HTML-wstpniesformatowany"/>
        <w:rPr>
          <w:rFonts w:asciiTheme="minorHAnsi" w:hAnsiTheme="minorHAnsi" w:cs="Calibri"/>
          <w:sz w:val="22"/>
          <w:szCs w:val="22"/>
          <w:lang w:val="en-US"/>
        </w:rPr>
      </w:pPr>
    </w:p>
    <w:p w:rsidR="00722FB2" w:rsidRPr="00335208" w:rsidRDefault="00722FB2" w:rsidP="00335208">
      <w:pPr>
        <w:pStyle w:val="Bezodstpw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  <w:lang w:val="en-US"/>
        </w:rPr>
      </w:pPr>
      <w:proofErr w:type="spellStart"/>
      <w:r w:rsidRPr="00335208">
        <w:rPr>
          <w:rFonts w:asciiTheme="minorHAnsi" w:hAnsiTheme="minorHAnsi" w:cs="Calibri"/>
          <w:sz w:val="22"/>
          <w:szCs w:val="22"/>
          <w:lang w:val="en-US"/>
        </w:rPr>
        <w:t>Felasa</w:t>
      </w:r>
      <w:proofErr w:type="spellEnd"/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Quarterly Profile </w:t>
      </w:r>
      <w:r w:rsidRPr="00335208">
        <w:rPr>
          <w:rFonts w:asciiTheme="minorHAnsi" w:hAnsiTheme="minorHAnsi"/>
          <w:sz w:val="22"/>
          <w:szCs w:val="22"/>
          <w:lang w:val="en-US"/>
        </w:rPr>
        <w:t>(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serology: </w:t>
      </w:r>
      <w:r w:rsidRPr="00335208">
        <w:rPr>
          <w:rFonts w:asciiTheme="minorHAnsi" w:hAnsiTheme="minorHAnsi"/>
          <w:sz w:val="22"/>
          <w:szCs w:val="22"/>
          <w:lang w:val="en-US"/>
        </w:rPr>
        <w:t xml:space="preserve">EDIM, MHV, MNV, MPV, MVM, TMEV + 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PCR: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Aspiculuris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tetraptera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Cryptosporidium spp., Giardia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bilis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ganmani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hepaticus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mastomyrinus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rodentium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spp.,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typhlonius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Mycoptes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Heyl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Jawetz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Radfordia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>/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Myobia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Spironucleus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pneumoniae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-Streptococcus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A, Streptococcus sp. beta hemolytic Group B, Streptococcus sp. beta hemolytic Group C,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G,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obvelata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>)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- Mice </w:t>
      </w:r>
      <w:r w:rsidR="001E1657" w:rsidRPr="00335208">
        <w:rPr>
          <w:rFonts w:asciiTheme="minorHAnsi" w:hAnsiTheme="minorHAnsi" w:cs="Calibri"/>
          <w:sz w:val="22"/>
          <w:szCs w:val="22"/>
          <w:lang w:val="en-US"/>
        </w:rPr>
        <w:t>–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51</w:t>
      </w:r>
    </w:p>
    <w:p w:rsidR="001E1657" w:rsidRPr="00335208" w:rsidRDefault="001E1657" w:rsidP="001E1657">
      <w:pPr>
        <w:pStyle w:val="Bezodstpw"/>
        <w:rPr>
          <w:rFonts w:asciiTheme="minorHAnsi" w:hAnsiTheme="minorHAnsi" w:cs="Calibri"/>
          <w:sz w:val="22"/>
          <w:szCs w:val="22"/>
          <w:lang w:val="en-US"/>
        </w:rPr>
      </w:pPr>
    </w:p>
    <w:p w:rsidR="00722FB2" w:rsidRPr="00335208" w:rsidRDefault="00722FB2" w:rsidP="00335208">
      <w:pPr>
        <w:pStyle w:val="HTML-wstpniesformatowany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  <w:lang w:val="en-US"/>
        </w:rPr>
      </w:pPr>
      <w:proofErr w:type="spellStart"/>
      <w:r w:rsidRPr="00335208">
        <w:rPr>
          <w:rFonts w:asciiTheme="minorHAnsi" w:hAnsiTheme="minorHAnsi" w:cs="Calibri"/>
          <w:sz w:val="22"/>
          <w:szCs w:val="22"/>
          <w:lang w:val="en-US"/>
        </w:rPr>
        <w:t>Felasa</w:t>
      </w:r>
      <w:proofErr w:type="spellEnd"/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Quarterly Profile </w:t>
      </w:r>
      <w:r w:rsidRPr="00335208">
        <w:rPr>
          <w:rFonts w:asciiTheme="minorHAnsi" w:hAnsiTheme="minorHAnsi"/>
          <w:sz w:val="22"/>
          <w:szCs w:val="22"/>
          <w:lang w:val="en-US"/>
        </w:rPr>
        <w:t>(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serology: </w:t>
      </w:r>
      <w:r w:rsidRPr="00335208">
        <w:rPr>
          <w:rFonts w:asciiTheme="minorHAnsi" w:hAnsiTheme="minorHAnsi"/>
          <w:sz w:val="22"/>
          <w:szCs w:val="22"/>
          <w:lang w:val="en-US"/>
        </w:rPr>
        <w:t xml:space="preserve">Clostridium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piliforme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Mycoplasma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pulmonis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H1, KRV, PVM, RCV/SDAV, RMV, RPV, RTV + 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PCR: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Aspiculuris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tetraptera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Cryptosporidium spp., Giardia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bilis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ganmani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hepaticus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mastomyrinus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rodentium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spp.,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typhlonius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Mycoptes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Heyl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Jawetz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Radfordia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>/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Myobia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Spironucleus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pneumoniae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A, Streptococcus sp. beta hemolytic Group B, Streptococcus sp. beta hemolytic Group C,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G,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obvelata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>)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- Rats </w:t>
      </w:r>
      <w:r w:rsidR="001E1657" w:rsidRPr="00335208">
        <w:rPr>
          <w:rFonts w:asciiTheme="minorHAnsi" w:hAnsiTheme="minorHAnsi" w:cs="Calibri"/>
          <w:sz w:val="22"/>
          <w:szCs w:val="22"/>
          <w:lang w:val="en-US"/>
        </w:rPr>
        <w:t>–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18</w:t>
      </w:r>
    </w:p>
    <w:p w:rsidR="001E1657" w:rsidRPr="00335208" w:rsidRDefault="001E1657" w:rsidP="001E1657">
      <w:pPr>
        <w:pStyle w:val="Akapitzlist"/>
        <w:rPr>
          <w:rFonts w:asciiTheme="minorHAnsi" w:hAnsiTheme="minorHAnsi" w:cs="Calibri"/>
          <w:sz w:val="22"/>
          <w:szCs w:val="22"/>
          <w:lang w:val="en-US"/>
        </w:rPr>
      </w:pPr>
    </w:p>
    <w:p w:rsidR="001E1657" w:rsidRPr="00335208" w:rsidRDefault="001E1657" w:rsidP="001E1657">
      <w:pPr>
        <w:pStyle w:val="HTML-wstpniesformatowany"/>
        <w:rPr>
          <w:rFonts w:asciiTheme="minorHAnsi" w:hAnsiTheme="minorHAnsi" w:cs="Calibri"/>
          <w:sz w:val="22"/>
          <w:szCs w:val="22"/>
          <w:lang w:val="en-US"/>
        </w:rPr>
      </w:pPr>
    </w:p>
    <w:p w:rsidR="00722FB2" w:rsidRPr="00335208" w:rsidRDefault="00722FB2" w:rsidP="00335208">
      <w:pPr>
        <w:pStyle w:val="HTML-wstpniesformatowany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  <w:lang w:val="en-US"/>
        </w:rPr>
      </w:pPr>
      <w:proofErr w:type="spellStart"/>
      <w:r w:rsidRPr="00335208">
        <w:rPr>
          <w:rFonts w:asciiTheme="minorHAnsi" w:hAnsiTheme="minorHAnsi" w:cs="Calibri"/>
          <w:sz w:val="22"/>
          <w:szCs w:val="22"/>
          <w:lang w:val="en-US"/>
        </w:rPr>
        <w:t>Felasa</w:t>
      </w:r>
      <w:proofErr w:type="spellEnd"/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Annual Profile </w:t>
      </w:r>
      <w:r w:rsidRPr="00335208">
        <w:rPr>
          <w:rFonts w:asciiTheme="minorHAnsi" w:hAnsiTheme="minorHAnsi"/>
          <w:sz w:val="22"/>
          <w:szCs w:val="22"/>
          <w:lang w:val="en-US"/>
        </w:rPr>
        <w:t>(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serology: </w:t>
      </w:r>
      <w:r w:rsidRPr="00335208">
        <w:rPr>
          <w:rFonts w:asciiTheme="minorHAnsi" w:hAnsiTheme="minorHAnsi"/>
          <w:sz w:val="22"/>
          <w:szCs w:val="22"/>
          <w:lang w:val="en-US"/>
        </w:rPr>
        <w:t xml:space="preserve">clostridium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piliforme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mycoplasma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pulmonis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ectromelia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EDIM, LCMV, MAV1, MAV2, MHV, MNV, MPV, MVM, PVM, REO3, Sendai, TMEV + 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PCR: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Aspiculuris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tetraptera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Citrobacter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rodentium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Corynebacterium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kutscheri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Cryptosporidium spp.,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Entamoeba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Giardia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bilis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ganmani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hepaticus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mastomyrinus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rodentium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spp.,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typhlonius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Mycoptes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lastRenderedPageBreak/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Heyl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Jawetz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Radfordia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>/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Myobia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Salmonella spp.,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Spironucleus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Streptobacillus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moniliformis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pneumoniae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A, Streptococcus sp. beta hemolytic Group B, Streptococcus sp. beta hemolytic Group C,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G,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obvelata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Tritrichomonas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) - 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Mice </w:t>
      </w:r>
      <w:r w:rsidR="00414D7D" w:rsidRPr="00335208">
        <w:rPr>
          <w:rFonts w:asciiTheme="minorHAnsi" w:hAnsiTheme="minorHAnsi" w:cs="Calibri"/>
          <w:sz w:val="22"/>
          <w:szCs w:val="22"/>
          <w:lang w:val="en-US"/>
        </w:rPr>
        <w:t>–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17</w:t>
      </w:r>
    </w:p>
    <w:p w:rsidR="00414D7D" w:rsidRPr="00335208" w:rsidRDefault="00414D7D" w:rsidP="00414D7D">
      <w:pPr>
        <w:pStyle w:val="HTML-wstpniesformatowany"/>
        <w:rPr>
          <w:rFonts w:asciiTheme="minorHAnsi" w:hAnsiTheme="minorHAnsi" w:cs="Calibri"/>
          <w:sz w:val="22"/>
          <w:szCs w:val="22"/>
          <w:lang w:val="en-US"/>
        </w:rPr>
      </w:pPr>
    </w:p>
    <w:p w:rsidR="00722FB2" w:rsidRPr="00335208" w:rsidRDefault="00722FB2" w:rsidP="00335208">
      <w:pPr>
        <w:pStyle w:val="HTML-wstpniesformatowany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  <w:lang w:val="en-US"/>
        </w:rPr>
      </w:pPr>
      <w:proofErr w:type="spellStart"/>
      <w:r w:rsidRPr="00335208">
        <w:rPr>
          <w:rFonts w:asciiTheme="minorHAnsi" w:hAnsiTheme="minorHAnsi" w:cs="Calibri"/>
          <w:sz w:val="22"/>
          <w:szCs w:val="22"/>
          <w:lang w:val="en-US"/>
        </w:rPr>
        <w:t>Felasa</w:t>
      </w:r>
      <w:proofErr w:type="spellEnd"/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Annual Profile</w:t>
      </w:r>
      <w:r w:rsidRPr="00335208">
        <w:rPr>
          <w:rFonts w:asciiTheme="minorHAnsi" w:hAnsiTheme="minorHAnsi"/>
          <w:sz w:val="22"/>
          <w:szCs w:val="22"/>
          <w:lang w:val="en-US"/>
        </w:rPr>
        <w:t xml:space="preserve"> (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serology: </w:t>
      </w:r>
      <w:r w:rsidRPr="00335208">
        <w:rPr>
          <w:rFonts w:asciiTheme="minorHAnsi" w:hAnsiTheme="minorHAnsi"/>
          <w:sz w:val="22"/>
          <w:szCs w:val="22"/>
          <w:lang w:val="en-US"/>
        </w:rPr>
        <w:t xml:space="preserve">Clostridium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piliforme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Mycoplasma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pulmonis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Pneumocystis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carinii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CAR bacillus, H1,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Hantaan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KRV, MAV1, MAV2, PVM, RCV/SDAV, REO3, RMV, RPV, RTV, Sendai + </w:t>
      </w:r>
      <w:r w:rsidRPr="00335208">
        <w:rPr>
          <w:rFonts w:asciiTheme="minorHAnsi" w:hAnsiTheme="minorHAnsi"/>
          <w:b/>
          <w:sz w:val="22"/>
          <w:szCs w:val="22"/>
          <w:lang w:val="en-US"/>
        </w:rPr>
        <w:t xml:space="preserve">PCR: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Aspiculuris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tetraptera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Cryptosporidium spp.,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Entamoeba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Giardia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bilis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ganmani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hepaticus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mastomyrinus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rodentium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Helicobacter spp., Helicobacter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typhlonius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Mycoptes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Heyl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Pasteurella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pneumotropica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biotype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Jawetz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Radfordia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>/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Myobia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Salmonella spp.,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Spironucleus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Streptobacillus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moniliformis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pneumoniae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A, Streptococcus sp. beta hemolytic Group B, Streptococcus sp. beta hemolytic Group C, Streptococcus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sp.beta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hemolytic Group G,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Syphacia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obvelata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Tritrichomonas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335208">
        <w:rPr>
          <w:rFonts w:asciiTheme="minorHAnsi" w:hAnsiTheme="minorHAnsi"/>
          <w:sz w:val="22"/>
          <w:szCs w:val="22"/>
          <w:lang w:val="en-US"/>
        </w:rPr>
        <w:t>muris</w:t>
      </w:r>
      <w:proofErr w:type="spellEnd"/>
      <w:r w:rsidRPr="00335208">
        <w:rPr>
          <w:rFonts w:asciiTheme="minorHAnsi" w:hAnsiTheme="minorHAnsi"/>
          <w:sz w:val="22"/>
          <w:szCs w:val="22"/>
          <w:lang w:val="en-US"/>
        </w:rPr>
        <w:t xml:space="preserve">) </w:t>
      </w:r>
      <w:r w:rsidRPr="00335208">
        <w:rPr>
          <w:rFonts w:asciiTheme="minorHAnsi" w:hAnsiTheme="minorHAnsi" w:cs="Calibri"/>
          <w:sz w:val="22"/>
          <w:szCs w:val="22"/>
          <w:lang w:val="en-US"/>
        </w:rPr>
        <w:t xml:space="preserve"> - Rats – 6</w:t>
      </w:r>
    </w:p>
    <w:p w:rsidR="00414D7D" w:rsidRPr="00335208" w:rsidRDefault="00414D7D" w:rsidP="00414D7D">
      <w:pPr>
        <w:pStyle w:val="Akapitzlist"/>
        <w:rPr>
          <w:rFonts w:asciiTheme="minorHAnsi" w:hAnsiTheme="minorHAnsi" w:cs="Calibri"/>
          <w:sz w:val="22"/>
          <w:szCs w:val="22"/>
          <w:lang w:val="en-US"/>
        </w:rPr>
      </w:pPr>
    </w:p>
    <w:p w:rsidR="00414D7D" w:rsidRPr="00335208" w:rsidRDefault="00414D7D" w:rsidP="00414D7D">
      <w:pPr>
        <w:pStyle w:val="HTML-wstpniesformatowany"/>
        <w:rPr>
          <w:rFonts w:asciiTheme="minorHAnsi" w:hAnsiTheme="minorHAnsi" w:cs="Calibri"/>
          <w:sz w:val="22"/>
          <w:szCs w:val="22"/>
          <w:lang w:val="en-US"/>
        </w:rPr>
      </w:pPr>
    </w:p>
    <w:p w:rsidR="00722FB2" w:rsidRPr="00335208" w:rsidRDefault="00722FB2" w:rsidP="00722FB2">
      <w:pPr>
        <w:pStyle w:val="HTML-wstpniesformatowany"/>
        <w:numPr>
          <w:ilvl w:val="0"/>
          <w:numId w:val="3"/>
        </w:numPr>
        <w:rPr>
          <w:rFonts w:asciiTheme="minorHAnsi" w:hAnsiTheme="minorHAnsi" w:cs="Calibri"/>
          <w:sz w:val="22"/>
          <w:szCs w:val="22"/>
          <w:lang w:val="en-US"/>
        </w:rPr>
      </w:pPr>
      <w:r w:rsidRPr="00335208">
        <w:rPr>
          <w:rFonts w:asciiTheme="minorHAnsi" w:hAnsiTheme="minorHAnsi" w:cs="Calibri"/>
          <w:sz w:val="22"/>
          <w:szCs w:val="22"/>
          <w:lang w:val="en-US"/>
        </w:rPr>
        <w:t>Transport of samples – 8x.</w:t>
      </w:r>
    </w:p>
    <w:p w:rsidR="00722FB2" w:rsidRPr="00335208" w:rsidRDefault="00722FB2" w:rsidP="00722FB2">
      <w:pPr>
        <w:pStyle w:val="HTML-wstpniesformatowany"/>
        <w:ind w:left="720"/>
        <w:rPr>
          <w:rFonts w:asciiTheme="minorHAnsi" w:hAnsiTheme="minorHAnsi" w:cs="Calibri"/>
          <w:sz w:val="22"/>
          <w:szCs w:val="22"/>
          <w:lang w:val="en-US"/>
        </w:rPr>
      </w:pPr>
    </w:p>
    <w:p w:rsidR="00722FB2" w:rsidRPr="00335208" w:rsidRDefault="00722FB2" w:rsidP="00335208">
      <w:pPr>
        <w:pStyle w:val="HTML-wstpniesformatowany"/>
        <w:jc w:val="both"/>
        <w:rPr>
          <w:rStyle w:val="tlid-translation"/>
          <w:rFonts w:asciiTheme="minorHAnsi" w:hAnsiTheme="minorHAnsi"/>
          <w:b/>
          <w:sz w:val="22"/>
          <w:szCs w:val="22"/>
          <w:lang w:val="en-US"/>
        </w:rPr>
      </w:pPr>
      <w:r w:rsidRPr="00335208">
        <w:rPr>
          <w:rStyle w:val="tlid-translation"/>
          <w:rFonts w:asciiTheme="minorHAnsi" w:hAnsiTheme="minorHAnsi"/>
          <w:b/>
          <w:sz w:val="22"/>
          <w:szCs w:val="22"/>
          <w:lang w:val="en-US"/>
        </w:rPr>
        <w:t xml:space="preserve">The testing entity must have appropriate equipment, personnel and experience in performing such tests. For testing, the unit should use the following samples provided by the Ordering Party: </w:t>
      </w:r>
      <w:proofErr w:type="spellStart"/>
      <w:r w:rsidRPr="00335208">
        <w:rPr>
          <w:rStyle w:val="tlid-translation"/>
          <w:rFonts w:asciiTheme="minorHAnsi" w:hAnsiTheme="minorHAnsi"/>
          <w:b/>
          <w:sz w:val="22"/>
          <w:szCs w:val="22"/>
          <w:lang w:val="en-US"/>
        </w:rPr>
        <w:t>faeces</w:t>
      </w:r>
      <w:proofErr w:type="spellEnd"/>
      <w:r w:rsidRPr="00335208">
        <w:rPr>
          <w:rStyle w:val="tlid-translation"/>
          <w:rFonts w:asciiTheme="minorHAnsi" w:hAnsiTheme="minorHAnsi"/>
          <w:b/>
          <w:sz w:val="22"/>
          <w:szCs w:val="22"/>
          <w:lang w:val="en-US"/>
        </w:rPr>
        <w:t>, dry oral swab, fur swab, a droplet strip (</w:t>
      </w:r>
      <w:proofErr w:type="spellStart"/>
      <w:r w:rsidRPr="00335208">
        <w:rPr>
          <w:rStyle w:val="tlid-translation"/>
          <w:rFonts w:asciiTheme="minorHAnsi" w:hAnsiTheme="minorHAnsi"/>
          <w:b/>
          <w:sz w:val="22"/>
          <w:szCs w:val="22"/>
          <w:lang w:val="en-US"/>
        </w:rPr>
        <w:t>Opti</w:t>
      </w:r>
      <w:proofErr w:type="spellEnd"/>
      <w:r w:rsidRPr="00335208">
        <w:rPr>
          <w:rStyle w:val="tlid-translation"/>
          <w:rFonts w:asciiTheme="minorHAnsi" w:hAnsiTheme="minorHAnsi"/>
          <w:b/>
          <w:sz w:val="22"/>
          <w:szCs w:val="22"/>
          <w:lang w:val="en-US"/>
        </w:rPr>
        <w:t>-Spot, etc.).</w:t>
      </w:r>
    </w:p>
    <w:p w:rsidR="00180F6B" w:rsidRPr="00335208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3D379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>II Criteria for the evaluation of tenders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335208" w:rsidTr="000B5024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520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for the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evaluation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335208">
            <w:pPr>
              <w:ind w:hanging="2"/>
              <w:rPr>
                <w:rFonts w:asciiTheme="minorHAnsi" w:hAnsiTheme="minorHAnsi"/>
                <w:b/>
                <w:sz w:val="22"/>
                <w:szCs w:val="22"/>
              </w:rPr>
            </w:pPr>
            <w:r w:rsidRPr="003352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35208" w:rsidTr="000B5024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335208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Price – 70% 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(the lowest price – 70 pts, </w:t>
            </w:r>
            <w:r w:rsidRPr="00335208">
              <w:rPr>
                <w:rFonts w:asciiTheme="minorHAnsi" w:hAnsiTheme="minorHAnsi" w:cs="Courier New"/>
                <w:sz w:val="22"/>
                <w:szCs w:val="22"/>
                <w:lang w:val="en-US"/>
              </w:rPr>
              <w:t>each higher price will receive 1 point less for every 1% of the higher price compared to 100% of the minimum price)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70%</w:t>
            </w:r>
          </w:p>
        </w:tc>
      </w:tr>
      <w:tr w:rsidR="00335208" w:rsidRPr="00335208" w:rsidTr="000B5024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335208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T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>ransport –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>(with transport – 10 pts, without transport – 0 pts)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10%</w:t>
            </w:r>
          </w:p>
        </w:tc>
      </w:tr>
      <w:tr w:rsidR="00335208" w:rsidRPr="00335208" w:rsidTr="000B5024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335208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>Total price of transport  (8 transports) – (the lowest price – 10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>pts, others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>– 0 pts)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10%</w:t>
            </w:r>
          </w:p>
        </w:tc>
      </w:tr>
      <w:tr w:rsidR="00335208" w:rsidTr="000B5024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335208">
            <w:pPr>
              <w:ind w:hanging="2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P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roducer 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r w:rsidRPr="00335208">
              <w:rPr>
                <w:rFonts w:asciiTheme="minorHAnsi" w:hAnsiTheme="minorHAnsi" w:cs="Calibri"/>
                <w:sz w:val="22"/>
                <w:szCs w:val="22"/>
                <w:lang w:val="en-US"/>
              </w:rPr>
              <w:t>(one producer -10 pts, more producers – 0 pts)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08" w:rsidRPr="00335208" w:rsidRDefault="00335208" w:rsidP="000B5024">
            <w:pPr>
              <w:ind w:hanging="2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</w:tbl>
    <w:p w:rsidR="003D3797" w:rsidRPr="00335208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EB537D" w:rsidRPr="00335208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>I</w:t>
      </w:r>
      <w:r w:rsid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>II</w:t>
      </w:r>
      <w:r w:rsidR="00EB537D" w:rsidRPr="003352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Description of the Preparation of the Offer and its Evaluation:</w:t>
      </w:r>
    </w:p>
    <w:p w:rsidR="00EB537D" w:rsidRPr="00335208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The offer should be prepared on model No. 1 attached to the Inquiry.</w:t>
      </w:r>
    </w:p>
    <w:p w:rsidR="00EB537D" w:rsidRPr="00335208" w:rsidRDefault="00EB537D" w:rsidP="0033520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335208" w:rsidRDefault="00EB537D" w:rsidP="0033520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color w:val="000000"/>
          <w:sz w:val="22"/>
          <w:szCs w:val="22"/>
          <w:lang w:val="en-US"/>
        </w:rPr>
        <w:t>Tenders must be sent electronically in the form of a scanned original tender by e-mail to the following address:</w:t>
      </w:r>
      <w:r w:rsidR="001B4100" w:rsidRPr="00335208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1B4100" w:rsidRPr="0033520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a.zajfert@nencki.edu.pl</w:t>
      </w:r>
    </w:p>
    <w:p w:rsidR="00EB537D" w:rsidRPr="00335208" w:rsidRDefault="00EB537D" w:rsidP="0033520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5208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Please mark the offer in the message title: </w:t>
      </w:r>
      <w:r w:rsidR="001B4100" w:rsidRPr="00335208">
        <w:rPr>
          <w:rFonts w:asciiTheme="minorHAnsi" w:hAnsiTheme="minorHAnsi" w:cs="Calibri"/>
          <w:b/>
          <w:sz w:val="22"/>
          <w:szCs w:val="22"/>
          <w:lang w:val="en-US"/>
        </w:rPr>
        <w:t>health monitoring acc. FELASA</w:t>
      </w:r>
      <w:r w:rsidR="001B4100" w:rsidRPr="003352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B537D" w:rsidRPr="00335208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Only offers containing all the elements listed above will be evaluated.</w:t>
      </w:r>
    </w:p>
    <w:p w:rsidR="00EB537D" w:rsidRPr="00335208" w:rsidRDefault="0033520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EB537D" w:rsidRPr="003352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537D" w:rsidRPr="00335208">
        <w:rPr>
          <w:rFonts w:asciiTheme="minorHAnsi" w:hAnsiTheme="minorHAnsi" w:cstheme="minorHAnsi"/>
          <w:b/>
          <w:bCs/>
          <w:sz w:val="22"/>
          <w:szCs w:val="22"/>
        </w:rPr>
        <w:t>Additional</w:t>
      </w:r>
      <w:proofErr w:type="spellEnd"/>
      <w:r w:rsidR="00EB537D" w:rsidRPr="003352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537D" w:rsidRPr="00335208">
        <w:rPr>
          <w:rFonts w:asciiTheme="minorHAnsi" w:hAnsiTheme="minorHAnsi" w:cstheme="minorHAnsi"/>
          <w:b/>
          <w:bCs/>
          <w:sz w:val="22"/>
          <w:szCs w:val="22"/>
        </w:rPr>
        <w:t>information</w:t>
      </w:r>
      <w:proofErr w:type="spellEnd"/>
      <w:r w:rsidR="00EB537D" w:rsidRPr="0033520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EB537D" w:rsidRPr="00335208" w:rsidRDefault="00EB537D" w:rsidP="0033520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In order to complete the order, a contract will be signed with the selected Contractor.</w:t>
      </w:r>
    </w:p>
    <w:p w:rsidR="003D3797" w:rsidRPr="00335208" w:rsidRDefault="003D3797" w:rsidP="0033520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Per</w:t>
      </w:r>
      <w:r w:rsidR="001D5A5E" w:rsidRPr="00335208">
        <w:rPr>
          <w:rFonts w:asciiTheme="minorHAnsi" w:hAnsiTheme="minorHAnsi" w:cstheme="minorHAnsi"/>
          <w:sz w:val="22"/>
          <w:szCs w:val="22"/>
          <w:lang w:val="en-US"/>
        </w:rPr>
        <w:t>iod of validity of the contract: 1 year</w:t>
      </w:r>
    </w:p>
    <w:p w:rsidR="001D5A5E" w:rsidRPr="00335208" w:rsidRDefault="00484B3F" w:rsidP="0033520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The maximum completion date for</w:t>
      </w:r>
      <w:r w:rsidR="003D3797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each order under the contract </w:t>
      </w:r>
      <w:r w:rsidRPr="00335208">
        <w:rPr>
          <w:rFonts w:asciiTheme="minorHAnsi" w:hAnsiTheme="minorHAnsi" w:cstheme="minorHAnsi"/>
          <w:sz w:val="22"/>
          <w:szCs w:val="22"/>
          <w:lang w:val="en-US"/>
        </w:rPr>
        <w:t>is</w:t>
      </w:r>
      <w:r w:rsidR="001D5A5E"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 10 days.</w:t>
      </w:r>
    </w:p>
    <w:p w:rsidR="00EB537D" w:rsidRPr="00335208" w:rsidRDefault="00EB537D" w:rsidP="0033520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The Contracting Authority reserves the right to negotiate the terms of the contract with the best contractors.</w:t>
      </w:r>
    </w:p>
    <w:p w:rsidR="00EB537D" w:rsidRPr="00335208" w:rsidRDefault="00EB537D" w:rsidP="0033520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The Contracting Authority reserves the right not to select any</w:t>
      </w:r>
      <w:r w:rsidR="003352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35208">
        <w:rPr>
          <w:rFonts w:asciiTheme="minorHAnsi" w:hAnsiTheme="minorHAnsi" w:cstheme="minorHAnsi"/>
          <w:sz w:val="22"/>
          <w:szCs w:val="22"/>
          <w:lang w:val="en-US"/>
        </w:rPr>
        <w:t>of the Economic Operators.</w:t>
      </w:r>
    </w:p>
    <w:p w:rsidR="00EB537D" w:rsidRPr="00335208" w:rsidRDefault="00EB537D" w:rsidP="0033520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right="544" w:hanging="4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>The choice of the Contractor will be announced on the website. The contracting authority shall do so without delay after the end of the procedure.</w:t>
      </w:r>
    </w:p>
    <w:p w:rsidR="00EB537D" w:rsidRPr="00335208" w:rsidRDefault="00EB537D" w:rsidP="00EB537D">
      <w:pPr>
        <w:rPr>
          <w:rFonts w:asciiTheme="minorHAnsi" w:hAnsiTheme="minorHAnsi"/>
          <w:sz w:val="22"/>
          <w:szCs w:val="22"/>
          <w:lang w:val="en-US"/>
        </w:rPr>
      </w:pPr>
    </w:p>
    <w:p w:rsidR="001672DD" w:rsidRPr="00335208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  <w:sz w:val="22"/>
          <w:szCs w:val="22"/>
          <w:lang w:val="en-US"/>
        </w:rPr>
      </w:pPr>
      <w:r w:rsidRPr="00335208">
        <w:rPr>
          <w:rFonts w:asciiTheme="minorHAnsi" w:hAnsiTheme="minorHAnsi" w:cs="Calibri"/>
          <w:color w:val="365F91"/>
          <w:sz w:val="22"/>
          <w:szCs w:val="22"/>
          <w:lang w:val="en-US"/>
        </w:rPr>
        <w:t xml:space="preserve">Pasteur 3, 02-093 Warsaw, </w:t>
      </w:r>
      <w:proofErr w:type="spellStart"/>
      <w:r w:rsidRPr="00335208">
        <w:rPr>
          <w:rFonts w:asciiTheme="minorHAnsi" w:hAnsiTheme="minorHAnsi" w:cs="Calibri"/>
          <w:color w:val="365F91"/>
          <w:sz w:val="22"/>
          <w:szCs w:val="22"/>
          <w:lang w:val="en-US"/>
        </w:rPr>
        <w:t>tel</w:t>
      </w:r>
      <w:proofErr w:type="spellEnd"/>
      <w:r w:rsidRPr="00335208">
        <w:rPr>
          <w:rFonts w:asciiTheme="minorHAnsi" w:hAnsiTheme="minorHAnsi" w:cs="Calibri"/>
          <w:color w:val="365F91"/>
          <w:sz w:val="22"/>
          <w:szCs w:val="22"/>
          <w:lang w:val="en-US"/>
        </w:rPr>
        <w:t>: (48-22)</w:t>
      </w:r>
      <w:r w:rsidRPr="00335208">
        <w:rPr>
          <w:rFonts w:asciiTheme="minorHAnsi" w:hAnsiTheme="minorHAnsi" w:cs="Calibri"/>
          <w:color w:val="365F91"/>
          <w:sz w:val="22"/>
          <w:szCs w:val="22"/>
          <w:lang w:val="de-DE"/>
        </w:rPr>
        <w:t xml:space="preserve"> 589</w:t>
      </w:r>
      <w:r w:rsidR="00294036">
        <w:rPr>
          <w:rFonts w:asciiTheme="minorHAnsi" w:hAnsiTheme="minorHAnsi" w:cs="Calibri"/>
          <w:color w:val="365F91"/>
          <w:sz w:val="22"/>
          <w:szCs w:val="22"/>
          <w:lang w:val="de-DE"/>
        </w:rPr>
        <w:t xml:space="preserve"> 21 80</w:t>
      </w:r>
      <w:r w:rsidRPr="00335208">
        <w:rPr>
          <w:rFonts w:asciiTheme="minorHAnsi" w:hAnsiTheme="minorHAnsi" w:cs="Calibri"/>
          <w:color w:val="365F91"/>
          <w:sz w:val="22"/>
          <w:szCs w:val="22"/>
          <w:lang w:val="en-US"/>
        </w:rPr>
        <w:t xml:space="preserve">; </w:t>
      </w:r>
      <w:r w:rsidRPr="00335208">
        <w:rPr>
          <w:rFonts w:asciiTheme="minorHAnsi" w:hAnsiTheme="minorHAnsi" w:cs="Calibri"/>
          <w:color w:val="365F91"/>
          <w:sz w:val="22"/>
          <w:szCs w:val="22"/>
          <w:lang w:val="it-IT"/>
        </w:rPr>
        <w:t xml:space="preserve">e-mail: w.boguta@nencki.gov.pl; </w:t>
      </w:r>
      <w:hyperlink r:id="rId6" w:history="1">
        <w:r w:rsidRPr="00335208">
          <w:rPr>
            <w:rStyle w:val="Hipercze"/>
            <w:rFonts w:asciiTheme="minorHAnsi" w:hAnsiTheme="minorHAnsi" w:cs="Calibri"/>
            <w:color w:val="365F91"/>
            <w:sz w:val="22"/>
            <w:szCs w:val="22"/>
            <w:lang w:val="it-IT"/>
          </w:rPr>
          <w:t>http://www.nencki.gov.pl_</w:t>
        </w:r>
      </w:hyperlink>
    </w:p>
    <w:sectPr w:rsidR="001672DD" w:rsidRPr="00335208" w:rsidSect="00434136">
      <w:pgSz w:w="11906" w:h="16838"/>
      <w:pgMar w:top="1135" w:right="707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B6B62"/>
    <w:multiLevelType w:val="hybridMultilevel"/>
    <w:tmpl w:val="B5C0F8B8"/>
    <w:lvl w:ilvl="0" w:tplc="67B029AC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262"/>
    <w:multiLevelType w:val="hybridMultilevel"/>
    <w:tmpl w:val="6BB0B354"/>
    <w:lvl w:ilvl="0" w:tplc="1E2CE03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42BB3"/>
    <w:multiLevelType w:val="multilevel"/>
    <w:tmpl w:val="6AE2CC92"/>
    <w:styleLink w:val="WWNum6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7FA3549"/>
    <w:multiLevelType w:val="hybridMultilevel"/>
    <w:tmpl w:val="0E7C04E4"/>
    <w:lvl w:ilvl="0" w:tplc="98C0AA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672DD"/>
    <w:rsid w:val="00180F6B"/>
    <w:rsid w:val="001A5FE3"/>
    <w:rsid w:val="001B4100"/>
    <w:rsid w:val="001D5A5E"/>
    <w:rsid w:val="001E1657"/>
    <w:rsid w:val="001F764D"/>
    <w:rsid w:val="0023295B"/>
    <w:rsid w:val="00294036"/>
    <w:rsid w:val="00335208"/>
    <w:rsid w:val="00385AC8"/>
    <w:rsid w:val="003D3797"/>
    <w:rsid w:val="003D7FFB"/>
    <w:rsid w:val="00414D7D"/>
    <w:rsid w:val="00434136"/>
    <w:rsid w:val="00456330"/>
    <w:rsid w:val="00484B3F"/>
    <w:rsid w:val="00504E82"/>
    <w:rsid w:val="005A6057"/>
    <w:rsid w:val="006D5798"/>
    <w:rsid w:val="00722FB2"/>
    <w:rsid w:val="007C7F39"/>
    <w:rsid w:val="00941762"/>
    <w:rsid w:val="0097750B"/>
    <w:rsid w:val="00B21EC4"/>
    <w:rsid w:val="00B45C62"/>
    <w:rsid w:val="00BF476D"/>
    <w:rsid w:val="00CC118B"/>
    <w:rsid w:val="00CD51BB"/>
    <w:rsid w:val="00D15A72"/>
    <w:rsid w:val="00D403D9"/>
    <w:rsid w:val="00D809A5"/>
    <w:rsid w:val="00DB27EA"/>
    <w:rsid w:val="00DF4D66"/>
    <w:rsid w:val="00EB537D"/>
    <w:rsid w:val="00F551FA"/>
    <w:rsid w:val="00FF1A30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B4AF"/>
  <w15:docId w15:val="{D98E9018-BC28-42CD-B4CF-44A4735D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rsid w:val="0072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textAlignment w:val="baseline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22FB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722F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tlid-translation">
    <w:name w:val="tlid-translation"/>
    <w:rsid w:val="00722FB2"/>
  </w:style>
  <w:style w:type="numbering" w:customStyle="1" w:styleId="WWNum67">
    <w:name w:val="WWNum67"/>
    <w:basedOn w:val="Bezlisty"/>
    <w:rsid w:val="00414D7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2020-04-22T10:00:00Z</dcterms:created>
  <dcterms:modified xsi:type="dcterms:W3CDTF">2020-04-22T10:00:00Z</dcterms:modified>
</cp:coreProperties>
</file>