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proofErr w:type="spellStart"/>
      <w:r w:rsidR="00192D5C">
        <w:rPr>
          <w:rFonts w:cstheme="minorHAnsi"/>
          <w:b/>
          <w:sz w:val="20"/>
          <w:szCs w:val="20"/>
        </w:rPr>
        <w:t>Termomikser</w:t>
      </w:r>
      <w:proofErr w:type="spellEnd"/>
      <w:r w:rsidR="00192D5C">
        <w:rPr>
          <w:rFonts w:cstheme="minorHAnsi"/>
          <w:b/>
          <w:sz w:val="20"/>
          <w:szCs w:val="20"/>
        </w:rPr>
        <w:t xml:space="preserve"> na wymienne bloki </w:t>
      </w:r>
      <w:r w:rsidR="00643258">
        <w:rPr>
          <w:rFonts w:cstheme="minorHAnsi"/>
          <w:b/>
          <w:sz w:val="20"/>
          <w:szCs w:val="20"/>
        </w:rPr>
        <w:t>(</w:t>
      </w:r>
      <w:r w:rsidR="00192D5C">
        <w:rPr>
          <w:rFonts w:cstheme="minorHAnsi"/>
          <w:b/>
          <w:sz w:val="20"/>
          <w:szCs w:val="20"/>
        </w:rPr>
        <w:t>4</w:t>
      </w:r>
      <w:r w:rsidR="00643258">
        <w:rPr>
          <w:rFonts w:cstheme="minorHAnsi"/>
          <w:b/>
          <w:sz w:val="20"/>
          <w:szCs w:val="20"/>
        </w:rPr>
        <w:t xml:space="preserve"> szt.)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A0D9F" w:rsidRDefault="005A0D9F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92D5C" w:rsidRPr="00192D5C" w:rsidRDefault="00192D5C" w:rsidP="00192D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92D5C">
              <w:rPr>
                <w:b/>
                <w:bCs/>
                <w:sz w:val="20"/>
                <w:szCs w:val="20"/>
              </w:rPr>
              <w:t>Termomikser</w:t>
            </w:r>
            <w:proofErr w:type="spellEnd"/>
            <w:r w:rsidRPr="00192D5C">
              <w:rPr>
                <w:b/>
                <w:bCs/>
                <w:sz w:val="20"/>
                <w:szCs w:val="20"/>
              </w:rPr>
              <w:t xml:space="preserve"> na wymienne bloki (4 szt.)</w:t>
            </w:r>
            <w:r w:rsidRPr="00192D5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92D5C">
              <w:rPr>
                <w:rFonts w:cstheme="minorHAnsi"/>
                <w:sz w:val="20"/>
                <w:szCs w:val="20"/>
              </w:rPr>
              <w:t>o następujących parametrach oraz funkcjach:</w:t>
            </w:r>
          </w:p>
          <w:p w:rsidR="00192D5C" w:rsidRPr="003E0A05" w:rsidRDefault="00192D5C" w:rsidP="00192D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 xml:space="preserve">Urządzenie do mieszania i termostatowania próbek </w:t>
            </w:r>
            <w:r>
              <w:rPr>
                <w:sz w:val="20"/>
                <w:szCs w:val="20"/>
              </w:rPr>
              <w:br/>
            </w:r>
            <w:r w:rsidRPr="00775A3C">
              <w:rPr>
                <w:sz w:val="20"/>
                <w:szCs w:val="20"/>
              </w:rPr>
              <w:t>z możliwością wymiany bloków grzejnych, dostosowane do probówek oraz płytek w zakresie od 5µl do 50ml.</w:t>
            </w:r>
          </w:p>
          <w:p w:rsidR="00192D5C" w:rsidRPr="00775A3C" w:rsidRDefault="00192D5C" w:rsidP="00192D5C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Podświetlany wyświetlacz ciekłokrystaliczny</w:t>
            </w:r>
          </w:p>
          <w:p w:rsidR="00192D5C" w:rsidRPr="00775A3C" w:rsidRDefault="00192D5C" w:rsidP="00192D5C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Regulacja temperatury pracy w zakresie od 1°C do 100°C</w:t>
            </w:r>
          </w:p>
          <w:p w:rsidR="00192D5C" w:rsidRPr="00775A3C" w:rsidRDefault="00192D5C" w:rsidP="00192D5C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Zakres termostatowania od 15°C poniżej temperatury pomieszczenia do 100°C</w:t>
            </w:r>
          </w:p>
          <w:p w:rsidR="00192D5C" w:rsidRPr="00775A3C" w:rsidRDefault="00192D5C" w:rsidP="00192D5C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 xml:space="preserve">Zakres szybkości mieszania 300 – 3000 </w:t>
            </w:r>
            <w:proofErr w:type="spellStart"/>
            <w:r w:rsidRPr="00775A3C">
              <w:rPr>
                <w:sz w:val="20"/>
                <w:szCs w:val="20"/>
              </w:rPr>
              <w:t>rpm</w:t>
            </w:r>
            <w:proofErr w:type="spellEnd"/>
            <w:r w:rsidRPr="00775A3C">
              <w:rPr>
                <w:sz w:val="20"/>
                <w:szCs w:val="20"/>
              </w:rPr>
              <w:t xml:space="preserve"> (w zależności od użytych bloków grzejnych)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 xml:space="preserve">Dokładność utrzymywania temperatury ±0,5°C między 20°C </w:t>
            </w:r>
            <w:r>
              <w:rPr>
                <w:sz w:val="20"/>
                <w:szCs w:val="20"/>
              </w:rPr>
              <w:br/>
            </w:r>
            <w:r w:rsidRPr="00775A3C">
              <w:rPr>
                <w:sz w:val="20"/>
                <w:szCs w:val="20"/>
              </w:rPr>
              <w:t>a 45°C, oraz ±1°C &lt;20°C i &gt;45°C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Prędkość ogrzewania 7°C/min w zależności od stosowanego bloku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Prędkość schładzania  2,5°C/min między 100°C a temp. Pomieszczenia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Programowalny interwał czasowy od 15 sek. do 99:30 godz., możliwość pracy ciągłej</w:t>
            </w:r>
          </w:p>
          <w:p w:rsidR="005114F7" w:rsidRPr="005114F7" w:rsidRDefault="005114F7" w:rsidP="005114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Możliwość zaprogramowania 20 programów z regulacją temperatury oraz mieszania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5 przycisków wyboru wcześniej zdefiniowanych programów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Orbita mieszania 3 mm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Wymiary (szer. x gł. x wys.) 20,6 x 30,4 x 13,6 cm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Waga 6,3 kg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Możliwość wyboru bloku z 11 różnych bloków wymiennych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Szybka wymiana bloku poprzez naciśnięcie dźwigni, bez potrzeby użycia narzędzi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Automatyczne rozpoznanie bloku i wyświetlanie maksymalnej liczby obrotów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114F7" w:rsidRPr="00192D5C" w:rsidRDefault="005114F7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Możliwość mieszania z przerwami</w:t>
            </w:r>
          </w:p>
          <w:p w:rsidR="005114F7" w:rsidRPr="005114F7" w:rsidRDefault="005114F7" w:rsidP="005114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Oddzielny przycisk „</w:t>
            </w:r>
            <w:proofErr w:type="spellStart"/>
            <w:r w:rsidRPr="00775A3C">
              <w:rPr>
                <w:sz w:val="20"/>
                <w:szCs w:val="20"/>
              </w:rPr>
              <w:t>Short</w:t>
            </w:r>
            <w:proofErr w:type="spellEnd"/>
            <w:r w:rsidRPr="00775A3C">
              <w:rPr>
                <w:sz w:val="20"/>
                <w:szCs w:val="20"/>
              </w:rPr>
              <w:t>” do krótkiego mieszania na panelu urządzenia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Zużycie energii max. 200W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>Port USB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5A3C">
              <w:rPr>
                <w:sz w:val="20"/>
                <w:szCs w:val="20"/>
              </w:rPr>
              <w:t xml:space="preserve">Możliwość użycia pokrywy </w:t>
            </w:r>
            <w:proofErr w:type="spellStart"/>
            <w:r w:rsidRPr="00775A3C">
              <w:rPr>
                <w:sz w:val="20"/>
                <w:szCs w:val="20"/>
              </w:rPr>
              <w:t>antykondensacyjnej</w:t>
            </w:r>
            <w:proofErr w:type="spellEnd"/>
            <w:r w:rsidRPr="00775A3C">
              <w:rPr>
                <w:sz w:val="20"/>
                <w:szCs w:val="20"/>
              </w:rPr>
              <w:t xml:space="preserve"> „</w:t>
            </w:r>
            <w:proofErr w:type="spellStart"/>
            <w:r w:rsidRPr="00775A3C">
              <w:rPr>
                <w:sz w:val="20"/>
                <w:szCs w:val="20"/>
              </w:rPr>
              <w:t>ThermoTop</w:t>
            </w:r>
            <w:proofErr w:type="spellEnd"/>
            <w:r w:rsidRPr="00775A3C">
              <w:rPr>
                <w:sz w:val="20"/>
                <w:szCs w:val="20"/>
              </w:rPr>
              <w:t xml:space="preserve">” zapewniającej homogenny rozkład </w:t>
            </w:r>
            <w:r w:rsidRPr="009D3350">
              <w:rPr>
                <w:sz w:val="20"/>
                <w:szCs w:val="20"/>
              </w:rPr>
              <w:t>temperatury, chroniącej próbki przed parowaniem oraz osadzaniem się skroplonej pary wodnej na pokrywce i ściance probówki.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D3350">
              <w:rPr>
                <w:sz w:val="20"/>
                <w:szCs w:val="20"/>
              </w:rPr>
              <w:t xml:space="preserve">Urządzenie kompatybilne z </w:t>
            </w:r>
            <w:proofErr w:type="spellStart"/>
            <w:r w:rsidRPr="009D3350">
              <w:rPr>
                <w:sz w:val="20"/>
                <w:szCs w:val="20"/>
              </w:rPr>
              <w:t>termoblokiem</w:t>
            </w:r>
            <w:proofErr w:type="spellEnd"/>
            <w:r w:rsidRPr="009D3350">
              <w:rPr>
                <w:sz w:val="20"/>
                <w:szCs w:val="20"/>
              </w:rPr>
              <w:t xml:space="preserve"> </w:t>
            </w:r>
            <w:proofErr w:type="spellStart"/>
            <w:r w:rsidRPr="009D3350">
              <w:rPr>
                <w:sz w:val="20"/>
                <w:szCs w:val="20"/>
              </w:rPr>
              <w:t>Eppendorf</w:t>
            </w:r>
            <w:proofErr w:type="spellEnd"/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D3350">
              <w:rPr>
                <w:sz w:val="20"/>
                <w:szCs w:val="20"/>
              </w:rPr>
              <w:t xml:space="preserve">Autoryzowany przez producenta serwis gwarancyjny </w:t>
            </w:r>
            <w:r>
              <w:rPr>
                <w:sz w:val="20"/>
                <w:szCs w:val="20"/>
              </w:rPr>
              <w:br/>
            </w:r>
            <w:r w:rsidRPr="009D3350">
              <w:rPr>
                <w:sz w:val="20"/>
                <w:szCs w:val="20"/>
              </w:rPr>
              <w:t>i pogwarancyjny na terenie Polski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D3350">
              <w:rPr>
                <w:sz w:val="20"/>
                <w:szCs w:val="20"/>
              </w:rPr>
              <w:t>Rok produkcji nie wcześniejszy niż 2019</w:t>
            </w:r>
          </w:p>
          <w:p w:rsidR="00192D5C" w:rsidRPr="00192D5C" w:rsidRDefault="00192D5C" w:rsidP="00192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3350">
              <w:rPr>
                <w:rFonts w:cs="Calibri"/>
                <w:sz w:val="20"/>
                <w:szCs w:val="20"/>
              </w:rPr>
              <w:t>Reakcja serwisu technicznego na zgłoszenie awarii nie dłuższa niż 48 godz.</w:t>
            </w:r>
          </w:p>
          <w:p w:rsidR="00192D5C" w:rsidRPr="00192D5C" w:rsidRDefault="00192D5C" w:rsidP="00192D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92D5C" w:rsidRDefault="00192D5C" w:rsidP="00192D5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3350">
              <w:rPr>
                <w:rFonts w:cs="Calibri"/>
                <w:sz w:val="20"/>
                <w:szCs w:val="20"/>
              </w:rPr>
              <w:t xml:space="preserve">Zapewnienie urządzenia zastępczego, w przypadku, gdy naprawa będzie trwać dłużej niż </w:t>
            </w:r>
            <w:r>
              <w:rPr>
                <w:rFonts w:cs="Calibri"/>
                <w:sz w:val="20"/>
                <w:szCs w:val="20"/>
              </w:rPr>
              <w:t>14 dni roboczych</w:t>
            </w:r>
          </w:p>
          <w:p w:rsidR="00192D5C" w:rsidRPr="00192D5C" w:rsidRDefault="00192D5C" w:rsidP="00192D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92D5C" w:rsidRPr="009D3350" w:rsidRDefault="00192D5C" w:rsidP="00192D5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3350">
              <w:rPr>
                <w:rFonts w:cs="Calibri"/>
                <w:sz w:val="20"/>
                <w:szCs w:val="20"/>
              </w:rPr>
              <w:t>Zapewnienie serwisu pogwarancyjnego, w tym możliwości zakup części zamiennych przez okres co najmniej 8 lat, od daty zakończenia okresu gwarancji.</w:t>
            </w:r>
          </w:p>
          <w:p w:rsidR="00BF3C1C" w:rsidRPr="00192D5C" w:rsidRDefault="00BF3C1C" w:rsidP="00192D5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731D0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5A0D9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192D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5114F7" w:rsidRDefault="005114F7" w:rsidP="005114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867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192D5C">
        <w:rPr>
          <w:rFonts w:cstheme="minorHAnsi"/>
          <w:color w:val="000000"/>
          <w:sz w:val="20"/>
          <w:szCs w:val="20"/>
        </w:rPr>
        <w:t>6</w:t>
      </w:r>
      <w:r>
        <w:rPr>
          <w:rFonts w:cstheme="minorHAnsi"/>
          <w:color w:val="000000"/>
          <w:sz w:val="20"/>
          <w:szCs w:val="20"/>
        </w:rPr>
        <w:t xml:space="preserve"> tygodni).</w:t>
      </w:r>
    </w:p>
    <w:p w:rsidR="00F53C10" w:rsidRDefault="00F53C10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5CC0">
        <w:rPr>
          <w:rFonts w:ascii="Calibri" w:hAnsi="Calibri"/>
          <w:sz w:val="20"/>
          <w:szCs w:val="20"/>
        </w:rPr>
        <w:t>(6 tygodni - 0 pkt, 5 tygodni - 10 pkt, 4 tygodnie - 20 pkt)</w:t>
      </w:r>
      <w:r>
        <w:rPr>
          <w:rFonts w:ascii="Calibri" w:hAnsi="Calibri"/>
          <w:sz w:val="20"/>
          <w:szCs w:val="20"/>
        </w:rPr>
        <w:t>.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Pr="00F85CC0">
        <w:rPr>
          <w:rFonts w:ascii="Calibri" w:hAnsi="Calibri"/>
          <w:sz w:val="20"/>
          <w:szCs w:val="20"/>
        </w:rPr>
        <w:t xml:space="preserve">(24 miesiące - 0 pkt, 30 miesięcy - 5 pkt, 36 miesięcy - 10 pkt, 42 miesiące - 15 pkt, </w:t>
      </w:r>
      <w:r w:rsidR="00192D5C">
        <w:rPr>
          <w:rFonts w:ascii="Calibri" w:hAnsi="Calibri"/>
          <w:sz w:val="20"/>
          <w:szCs w:val="20"/>
        </w:rPr>
        <w:br/>
      </w:r>
      <w:r w:rsidRPr="00F85CC0">
        <w:rPr>
          <w:rFonts w:ascii="Calibri" w:hAnsi="Calibri"/>
          <w:sz w:val="20"/>
          <w:szCs w:val="20"/>
        </w:rPr>
        <w:t>48 miesięcy - 20 pkt)</w:t>
      </w:r>
      <w:r>
        <w:rPr>
          <w:rFonts w:ascii="Calibri" w:hAnsi="Calibr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>
        <w:rPr>
          <w:rFonts w:asciiTheme="minorHAnsi" w:hAnsiTheme="minorHAnsi" w:cstheme="minorHAnsi"/>
          <w:color w:val="365F91"/>
          <w:lang w:val="it-IT"/>
        </w:rPr>
        <w:t>e-mail: ale.piotrowska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E3BDE"/>
    <w:rsid w:val="004565BF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6A6C"/>
  <w15:docId w15:val="{0B724D68-8C57-4502-A5A4-DF94EB6B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2020-03-12T11:01:00Z</dcterms:created>
  <dcterms:modified xsi:type="dcterms:W3CDTF">2020-03-12T11:01:00Z</dcterms:modified>
</cp:coreProperties>
</file>