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3C7340" w:rsidRPr="002303AF" w:rsidRDefault="00022033" w:rsidP="003C734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0280">
        <w:rPr>
          <w:rFonts w:cstheme="minorHAnsi"/>
          <w:sz w:val="20"/>
          <w:szCs w:val="20"/>
        </w:rPr>
        <w:t xml:space="preserve">Przedmiot zamówienia: </w:t>
      </w:r>
      <w:r w:rsidR="003C7340" w:rsidRPr="003C7340">
        <w:rPr>
          <w:rFonts w:cstheme="minorHAnsi"/>
          <w:b/>
          <w:sz w:val="20"/>
          <w:szCs w:val="20"/>
        </w:rPr>
        <w:t>Dostawa k</w:t>
      </w:r>
      <w:r w:rsidR="003C7340" w:rsidRPr="003C7340">
        <w:rPr>
          <w:rFonts w:eastAsia="Batang" w:cstheme="minorHAnsi"/>
          <w:b/>
          <w:sz w:val="20"/>
          <w:szCs w:val="20"/>
        </w:rPr>
        <w:t xml:space="preserve">omórek </w:t>
      </w:r>
      <w:r w:rsidR="003C7340" w:rsidRPr="003C7340">
        <w:rPr>
          <w:rFonts w:cstheme="minorHAnsi"/>
          <w:b/>
          <w:color w:val="000000"/>
          <w:sz w:val="20"/>
          <w:szCs w:val="20"/>
        </w:rPr>
        <w:t>EndoC-βH1</w:t>
      </w:r>
    </w:p>
    <w:p w:rsidR="001167CD" w:rsidRPr="002B0280" w:rsidRDefault="001167CD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3C7340">
        <w:trPr>
          <w:trHeight w:val="6283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3C7340" w:rsidRDefault="003C7340" w:rsidP="003C73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Batang" w:cstheme="minorHAnsi"/>
                <w:b/>
                <w:sz w:val="20"/>
                <w:szCs w:val="20"/>
              </w:rPr>
              <w:t xml:space="preserve">Komórki </w:t>
            </w:r>
            <w:r w:rsidRPr="003C7340">
              <w:rPr>
                <w:rFonts w:cstheme="minorHAnsi"/>
                <w:b/>
                <w:color w:val="000000"/>
                <w:sz w:val="20"/>
                <w:szCs w:val="20"/>
              </w:rPr>
              <w:t xml:space="preserve">EndoC-βH1 </w:t>
            </w:r>
            <w:r w:rsidRPr="003C7340">
              <w:rPr>
                <w:rFonts w:cstheme="minorHAnsi"/>
                <w:color w:val="000000"/>
                <w:sz w:val="20"/>
                <w:szCs w:val="20"/>
              </w:rPr>
              <w:t>wykazujące następujące cechy:</w:t>
            </w:r>
          </w:p>
          <w:p w:rsidR="003C7340" w:rsidRPr="003C7340" w:rsidRDefault="003C7340" w:rsidP="003C73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C7340" w:rsidRDefault="003C7340" w:rsidP="003C73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1" w:right="-1" w:hanging="284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2303AF">
              <w:rPr>
                <w:rFonts w:asciiTheme="minorHAnsi" w:eastAsia="Batang" w:hAnsiTheme="minorHAnsi" w:cstheme="minorHAnsi"/>
                <w:sz w:val="20"/>
                <w:szCs w:val="20"/>
              </w:rPr>
              <w:t>Funkcjonalna, unieśmiertelniona stabilna linia komórkowa ludzkich komórek beta, wykazująca wysoką stabilność genetyczną, której komórki mogą być zamrażane, rozmrażane, namnażane bez z</w:t>
            </w:r>
            <w:r>
              <w:rPr>
                <w:rFonts w:asciiTheme="minorHAnsi" w:eastAsia="Batang" w:hAnsiTheme="minorHAnsi" w:cstheme="minorHAnsi"/>
                <w:sz w:val="20"/>
                <w:szCs w:val="20"/>
              </w:rPr>
              <w:t>naczących zmian morfologicznych</w:t>
            </w:r>
          </w:p>
          <w:p w:rsidR="003C7340" w:rsidRPr="002303AF" w:rsidRDefault="003C7340" w:rsidP="003C7340">
            <w:pPr>
              <w:pStyle w:val="Akapitzlist"/>
              <w:spacing w:after="0" w:line="240" w:lineRule="auto"/>
              <w:ind w:left="411" w:right="-1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</w:p>
          <w:p w:rsidR="003C7340" w:rsidRPr="003C7340" w:rsidRDefault="003C7340" w:rsidP="003C73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1" w:right="-1" w:hanging="284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2303AF">
              <w:rPr>
                <w:rFonts w:asciiTheme="minorHAnsi" w:eastAsia="Batang" w:hAnsiTheme="minorHAnsi" w:cstheme="minorHAnsi"/>
                <w:sz w:val="20"/>
                <w:szCs w:val="20"/>
              </w:rPr>
              <w:t xml:space="preserve">Zawartość insuliny w komórkach </w:t>
            </w:r>
            <w:r w:rsidRPr="002303AF">
              <w:rPr>
                <w:rFonts w:asciiTheme="minorHAnsi" w:hAnsiTheme="minorHAnsi" w:cstheme="minorHAnsi"/>
                <w:sz w:val="20"/>
                <w:szCs w:val="20"/>
              </w:rPr>
              <w:t xml:space="preserve">EndoC-βH1 nie różni się pomiędzy pasażami i wynosi ok. </w:t>
            </w:r>
            <w:r w:rsidRPr="002303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0.46 ± 0.07µg na milion komórek. Komórki w teście sekrecji insuliny stymulowanej glukozą wykazują odpowiedź zależną od dawki, stałą między pasażami</w:t>
            </w:r>
          </w:p>
          <w:p w:rsidR="003C7340" w:rsidRPr="002303AF" w:rsidRDefault="003C7340" w:rsidP="003C7340">
            <w:pPr>
              <w:pStyle w:val="Akapitzlist"/>
              <w:spacing w:after="0" w:line="240" w:lineRule="auto"/>
              <w:ind w:left="411" w:right="-1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</w:p>
          <w:p w:rsidR="003C7340" w:rsidRPr="003C7340" w:rsidRDefault="003C7340" w:rsidP="003C73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1" w:right="-1" w:hanging="284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2303AF">
              <w:rPr>
                <w:rFonts w:asciiTheme="minorHAnsi" w:eastAsia="Batang" w:hAnsiTheme="minorHAnsi" w:cstheme="minorHAnsi"/>
                <w:sz w:val="20"/>
                <w:szCs w:val="20"/>
              </w:rPr>
              <w:t xml:space="preserve">Komórki </w:t>
            </w:r>
            <w:r w:rsidRPr="002303AF">
              <w:rPr>
                <w:rFonts w:asciiTheme="minorHAnsi" w:hAnsiTheme="minorHAnsi" w:cstheme="minorHAnsi"/>
                <w:sz w:val="20"/>
                <w:szCs w:val="20"/>
              </w:rPr>
              <w:t>EndoC-βH1 to ludzkie komórki beta, odpowiednie dla klasycznych i wysokoprzepustowych skriningów badanych substancji, ich walidacji i identyfikacji</w:t>
            </w:r>
          </w:p>
          <w:p w:rsidR="003C7340" w:rsidRPr="002303AF" w:rsidRDefault="003C7340" w:rsidP="003C7340">
            <w:pPr>
              <w:pStyle w:val="Akapitzlist"/>
              <w:spacing w:after="0" w:line="240" w:lineRule="auto"/>
              <w:ind w:left="411" w:right="-1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</w:p>
          <w:p w:rsidR="003C7340" w:rsidRPr="003C7340" w:rsidRDefault="003C7340" w:rsidP="003C73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1" w:right="-1" w:hanging="284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2303AF">
              <w:rPr>
                <w:rFonts w:asciiTheme="minorHAnsi" w:hAnsiTheme="minorHAnsi" w:cstheme="minorHAnsi"/>
                <w:sz w:val="20"/>
                <w:szCs w:val="20"/>
              </w:rPr>
              <w:t>Komórki EndoC-βH1 eksprymują markery specyficzne dla ludzkich komórek beta. Natomiast nie eksprymują markerów innych komórek trzustki</w:t>
            </w:r>
          </w:p>
          <w:p w:rsidR="003C7340" w:rsidRPr="002303AF" w:rsidRDefault="003C7340" w:rsidP="003C7340">
            <w:pPr>
              <w:pStyle w:val="Akapitzlist"/>
              <w:spacing w:after="0" w:line="240" w:lineRule="auto"/>
              <w:ind w:left="411" w:right="-1"/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</w:p>
          <w:p w:rsidR="00BF3C1C" w:rsidRPr="00E63988" w:rsidRDefault="003C7340" w:rsidP="003C73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1" w:right="-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AF">
              <w:rPr>
                <w:rFonts w:asciiTheme="minorHAnsi" w:hAnsiTheme="minorHAnsi" w:cstheme="minorHAnsi"/>
                <w:sz w:val="20"/>
                <w:szCs w:val="20"/>
              </w:rPr>
              <w:t>Komórki EndoC-βH1 wydzielają insulinę pod wpływem glukozy oraz innych substancji stymulujących wydzielanie insuliny. Transplantacja tych komórek odwraca indukowaną chemicznie cukrzyce u myszy</w:t>
            </w:r>
          </w:p>
        </w:tc>
        <w:tc>
          <w:tcPr>
            <w:tcW w:w="1985" w:type="dxa"/>
          </w:tcPr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B46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B46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C1C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80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3C7340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340" w:rsidRPr="00E63988" w:rsidRDefault="003C734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1C8" w:rsidRPr="00E63988" w:rsidRDefault="002B0280" w:rsidP="003C73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E63988" w:rsidRDefault="00BF3C1C" w:rsidP="00E63988">
            <w:pPr>
              <w:tabs>
                <w:tab w:val="left" w:pos="91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83745" w:rsidRDefault="00D8374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F60ED7">
        <w:rPr>
          <w:rFonts w:cstheme="minorHAnsi"/>
          <w:color w:val="000000"/>
          <w:sz w:val="20"/>
          <w:szCs w:val="20"/>
        </w:rPr>
        <w:t>2</w:t>
      </w:r>
      <w:r w:rsidR="00916779">
        <w:rPr>
          <w:rFonts w:cstheme="minorHAnsi"/>
          <w:color w:val="000000"/>
          <w:sz w:val="20"/>
          <w:szCs w:val="20"/>
        </w:rPr>
        <w:t xml:space="preserve">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523AD" w:rsidRDefault="002523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523AD" w:rsidRDefault="002523AD" w:rsidP="002523AD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  <w:t>z dnia ogłoszenia zapytania ofertowego.</w:t>
      </w:r>
    </w:p>
    <w:p w:rsidR="00085EB6" w:rsidRDefault="00085EB6" w:rsidP="002523AD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85EB6" w:rsidRDefault="00085EB6" w:rsidP="00085EB6">
      <w:pPr>
        <w:spacing w:after="0" w:line="240" w:lineRule="auto"/>
        <w:ind w:right="-1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Komórki Endoc-BH1 mogą zostać udostępnione na zasadzie standardowej umowy o transferze materiału (MTA) na okres 12 miesięcy sporządzony przez Wykonawcę.</w:t>
      </w:r>
    </w:p>
    <w:p w:rsidR="003C7340" w:rsidRDefault="003C734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C7340" w:rsidRDefault="003C734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C7340" w:rsidRDefault="003C734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B0280" w:rsidRDefault="002B028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3C7340" w:rsidRDefault="003C734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C7340">
        <w:rPr>
          <w:rFonts w:asciiTheme="minorHAnsi" w:hAnsiTheme="minorHAnsi" w:cstheme="minorHAnsi"/>
          <w:color w:val="365F91"/>
          <w:lang w:val="de-DE"/>
        </w:rPr>
        <w:t>191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>e-mail:</w:t>
      </w:r>
      <w:r w:rsidR="003C7340">
        <w:rPr>
          <w:rFonts w:asciiTheme="minorHAnsi" w:hAnsiTheme="minorHAnsi" w:cstheme="minorHAnsi"/>
          <w:color w:val="365F91"/>
          <w:lang w:val="it-IT"/>
        </w:rPr>
        <w:t>f</w:t>
      </w:r>
      <w:r w:rsidR="00D83745">
        <w:rPr>
          <w:rFonts w:asciiTheme="minorHAnsi" w:hAnsiTheme="minorHAnsi" w:cstheme="minorHAnsi"/>
          <w:color w:val="365F91"/>
          <w:lang w:val="it-IT"/>
        </w:rPr>
        <w:t>.</w:t>
      </w:r>
      <w:r w:rsidR="003C7340">
        <w:rPr>
          <w:rFonts w:asciiTheme="minorHAnsi" w:hAnsiTheme="minorHAnsi" w:cstheme="minorHAnsi"/>
          <w:color w:val="365F91"/>
          <w:lang w:val="it-IT"/>
        </w:rPr>
        <w:t>dziaczkowski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2B0280">
      <w:pgSz w:w="11906" w:h="16838"/>
      <w:pgMar w:top="1135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D65"/>
    <w:multiLevelType w:val="hybridMultilevel"/>
    <w:tmpl w:val="56C07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624B"/>
    <w:multiLevelType w:val="hybridMultilevel"/>
    <w:tmpl w:val="CF6E5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85EB6"/>
    <w:rsid w:val="00092BB7"/>
    <w:rsid w:val="001167CD"/>
    <w:rsid w:val="001B693D"/>
    <w:rsid w:val="001C1619"/>
    <w:rsid w:val="001C646F"/>
    <w:rsid w:val="001D5EBB"/>
    <w:rsid w:val="001F4965"/>
    <w:rsid w:val="002329A0"/>
    <w:rsid w:val="002345BC"/>
    <w:rsid w:val="002523AD"/>
    <w:rsid w:val="00263169"/>
    <w:rsid w:val="00277B05"/>
    <w:rsid w:val="002B0280"/>
    <w:rsid w:val="002B1283"/>
    <w:rsid w:val="002C76B9"/>
    <w:rsid w:val="002F36F0"/>
    <w:rsid w:val="002F5B99"/>
    <w:rsid w:val="00357E00"/>
    <w:rsid w:val="00396CB8"/>
    <w:rsid w:val="003C734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16779"/>
    <w:rsid w:val="00936D16"/>
    <w:rsid w:val="00962F92"/>
    <w:rsid w:val="00964FB4"/>
    <w:rsid w:val="009F1772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CF27EB"/>
    <w:rsid w:val="00D235DB"/>
    <w:rsid w:val="00D30D79"/>
    <w:rsid w:val="00D37124"/>
    <w:rsid w:val="00D543FD"/>
    <w:rsid w:val="00D74DA9"/>
    <w:rsid w:val="00D83745"/>
    <w:rsid w:val="00D97CBD"/>
    <w:rsid w:val="00DC127E"/>
    <w:rsid w:val="00DC7A1A"/>
    <w:rsid w:val="00DE71C8"/>
    <w:rsid w:val="00E63988"/>
    <w:rsid w:val="00E97AF2"/>
    <w:rsid w:val="00F12157"/>
    <w:rsid w:val="00F6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F929E-2661-4B92-A76E-A8B51090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2020-11-24T08:02:00Z</dcterms:created>
  <dcterms:modified xsi:type="dcterms:W3CDTF">2020-11-24T08:02:00Z</dcterms:modified>
</cp:coreProperties>
</file>