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B63B1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418C896B" w14:textId="7DA54A0E"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596306">
        <w:rPr>
          <w:rFonts w:asciiTheme="minorHAnsi" w:hAnsiTheme="minorHAnsi" w:cstheme="minorHAnsi"/>
          <w:sz w:val="20"/>
          <w:szCs w:val="20"/>
        </w:rPr>
        <w:t>1</w:t>
      </w:r>
      <w:r w:rsidR="001F27C3">
        <w:rPr>
          <w:rFonts w:asciiTheme="minorHAnsi" w:hAnsiTheme="minorHAnsi" w:cstheme="minorHAnsi"/>
          <w:sz w:val="20"/>
          <w:szCs w:val="20"/>
        </w:rPr>
        <w:t>8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596306">
        <w:rPr>
          <w:rFonts w:asciiTheme="minorHAnsi" w:hAnsiTheme="minorHAnsi" w:cstheme="minorHAnsi"/>
          <w:sz w:val="20"/>
          <w:szCs w:val="20"/>
        </w:rPr>
        <w:t>12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2020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7809B1F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CBD884" w14:textId="37D651B9" w:rsidR="00E841F8" w:rsidRPr="0033544B" w:rsidRDefault="00596306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1F27C3">
        <w:rPr>
          <w:rFonts w:asciiTheme="minorHAnsi" w:hAnsiTheme="minorHAnsi" w:cstheme="minorHAnsi"/>
          <w:b/>
          <w:bCs/>
          <w:caps/>
          <w:sz w:val="20"/>
          <w:szCs w:val="20"/>
        </w:rPr>
        <w:t>137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2020</w:t>
      </w:r>
    </w:p>
    <w:p w14:paraId="463E1B24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57A41017" w14:textId="77777777"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7B669D">
        <w:rPr>
          <w:rFonts w:asciiTheme="minorHAnsi" w:hAnsiTheme="minorHAnsi" w:cstheme="minorHAnsi"/>
          <w:b/>
          <w:sz w:val="20"/>
          <w:szCs w:val="20"/>
        </w:rPr>
        <w:t xml:space="preserve">wisowania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7B669D">
        <w:rPr>
          <w:rFonts w:asciiTheme="minorHAnsi" w:hAnsiTheme="minorHAnsi" w:cstheme="minorHAnsi"/>
          <w:b/>
          <w:sz w:val="20"/>
          <w:szCs w:val="20"/>
        </w:rPr>
        <w:t>skanera rezonansu magnetycznego Siemens MAGNETOM Trio</w:t>
      </w:r>
    </w:p>
    <w:p w14:paraId="4C0A1E4B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B38F837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13972F13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29F59E41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4EC4FFD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769818AC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F76D74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F01DE0">
        <w:rPr>
          <w:rFonts w:asciiTheme="minorHAnsi" w:hAnsiTheme="minorHAnsi" w:cstheme="minorHAnsi"/>
          <w:sz w:val="20"/>
          <w:szCs w:val="20"/>
        </w:rPr>
        <w:t>Bartosz Kossowski</w:t>
      </w:r>
    </w:p>
    <w:p w14:paraId="062ED56F" w14:textId="7777777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e-mail:</w:t>
      </w:r>
      <w:r w:rsidR="008B1625">
        <w:rPr>
          <w:rFonts w:asciiTheme="minorHAnsi" w:hAnsiTheme="minorHAnsi" w:cstheme="minorHAnsi"/>
          <w:sz w:val="20"/>
          <w:szCs w:val="20"/>
        </w:rPr>
        <w:t>b</w:t>
      </w:r>
      <w:r w:rsidR="007B669D">
        <w:rPr>
          <w:rFonts w:asciiTheme="minorHAnsi" w:hAnsiTheme="minorHAnsi" w:cstheme="minorHAnsi"/>
          <w:sz w:val="20"/>
          <w:szCs w:val="20"/>
        </w:rPr>
        <w:t>.</w:t>
      </w:r>
      <w:r w:rsidR="008B1625">
        <w:rPr>
          <w:rFonts w:asciiTheme="minorHAnsi" w:hAnsiTheme="minorHAnsi" w:cstheme="minorHAnsi"/>
          <w:sz w:val="20"/>
          <w:szCs w:val="20"/>
        </w:rPr>
        <w:t>kossowski</w:t>
      </w:r>
      <w:r w:rsidR="007B669D">
        <w:rPr>
          <w:rFonts w:asciiTheme="minorHAnsi" w:hAnsiTheme="minorHAnsi" w:cstheme="minorHAnsi"/>
          <w:sz w:val="20"/>
          <w:szCs w:val="20"/>
        </w:rPr>
        <w:t>@nencki.edu.pl</w:t>
      </w:r>
      <w:r w:rsidRPr="0033544B">
        <w:rPr>
          <w:rFonts w:asciiTheme="minorHAnsi" w:hAnsiTheme="minorHAnsi" w:cstheme="minorHAnsi"/>
          <w:sz w:val="20"/>
          <w:szCs w:val="20"/>
        </w:rPr>
        <w:t>; telefon kontaktowy:</w:t>
      </w:r>
      <w:r w:rsidR="008B1625">
        <w:rPr>
          <w:rFonts w:asciiTheme="minorHAnsi" w:hAnsiTheme="minorHAnsi" w:cstheme="minorHAnsi"/>
          <w:sz w:val="20"/>
          <w:szCs w:val="20"/>
        </w:rPr>
        <w:t xml:space="preserve"> 22 589 25 51</w:t>
      </w:r>
    </w:p>
    <w:p w14:paraId="4DBEB214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27C2904B" w14:textId="119378FB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>nie później niż do dnia</w:t>
      </w:r>
      <w:r w:rsidR="006E519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2A76A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F27C3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6E519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96306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6E265DB7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638D4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2B1F06E4" w14:textId="77777777" w:rsidR="00685C2F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</w:p>
    <w:p w14:paraId="6058258E" w14:textId="77777777" w:rsidR="007B669D" w:rsidRDefault="00685C2F" w:rsidP="000622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B7BF7" w:rsidRPr="00685C2F">
        <w:rPr>
          <w:rFonts w:asciiTheme="minorHAnsi" w:hAnsiTheme="minorHAnsi" w:cstheme="minorHAnsi"/>
          <w:sz w:val="20"/>
          <w:szCs w:val="20"/>
        </w:rPr>
        <w:t xml:space="preserve">sługa serwisowania </w:t>
      </w:r>
      <w:r w:rsidR="007B669D" w:rsidRPr="00685C2F">
        <w:rPr>
          <w:rFonts w:asciiTheme="minorHAnsi" w:hAnsiTheme="minorHAnsi" w:cstheme="minorHAnsi"/>
          <w:sz w:val="20"/>
          <w:szCs w:val="20"/>
        </w:rPr>
        <w:t>skanera magnetycznego Siemens MAGNETOM Trio</w:t>
      </w:r>
      <w:r w:rsidRPr="00685C2F">
        <w:rPr>
          <w:rFonts w:asciiTheme="minorHAnsi" w:hAnsiTheme="minorHAnsi" w:cstheme="minorHAnsi"/>
          <w:sz w:val="20"/>
          <w:szCs w:val="20"/>
        </w:rPr>
        <w:t>.</w:t>
      </w:r>
    </w:p>
    <w:p w14:paraId="30A5926D" w14:textId="77777777" w:rsidR="000622E0" w:rsidRDefault="000622E0" w:rsidP="000622E0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EF3145" w14:textId="77777777" w:rsidR="00685C2F" w:rsidRPr="00685C2F" w:rsidRDefault="00685C2F" w:rsidP="000622E0">
      <w:pPr>
        <w:pStyle w:val="Normalny2"/>
        <w:widowControl w:val="0"/>
        <w:numPr>
          <w:ilvl w:val="0"/>
          <w:numId w:val="12"/>
        </w:numP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685C2F">
        <w:rPr>
          <w:rFonts w:asciiTheme="minorHAnsi" w:hAnsiTheme="minorHAnsi"/>
          <w:sz w:val="20"/>
          <w:szCs w:val="20"/>
        </w:rPr>
        <w:t>Zakres przeglądów technicznych musi obejmować przynajmniej:</w:t>
      </w:r>
    </w:p>
    <w:p w14:paraId="2541FD7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mechanicznego.</w:t>
      </w:r>
    </w:p>
    <w:p w14:paraId="6FA53FBA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ontrola występowania usterek zewnętrznych.</w:t>
      </w:r>
    </w:p>
    <w:p w14:paraId="318AB4B0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685C2F" w:rsidRPr="00685C2F">
        <w:rPr>
          <w:rFonts w:asciiTheme="minorHAnsi" w:hAnsiTheme="minorHAnsi"/>
          <w:sz w:val="20"/>
          <w:szCs w:val="20"/>
        </w:rPr>
        <w:t>nspekcja zużycia części.</w:t>
      </w:r>
    </w:p>
    <w:p w14:paraId="31428FF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85C2F" w:rsidRPr="00685C2F">
        <w:rPr>
          <w:rFonts w:asciiTheme="minorHAnsi" w:hAnsiTheme="minorHAnsi"/>
          <w:sz w:val="20"/>
          <w:szCs w:val="20"/>
        </w:rPr>
        <w:t>czyszczenie dróg chłodzenia i odprowadzania ciepła.</w:t>
      </w:r>
    </w:p>
    <w:p w14:paraId="619AC4C2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marowanie ruchomych części mechanicznych.</w:t>
      </w:r>
    </w:p>
    <w:p w14:paraId="097B3D3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elektrycznego.</w:t>
      </w:r>
    </w:p>
    <w:p w14:paraId="57E9232D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onserwacja software’u systemowego i aplikacyjnego</w:t>
      </w:r>
    </w:p>
    <w:p w14:paraId="25F7634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85C2F" w:rsidRPr="00685C2F">
        <w:rPr>
          <w:rFonts w:asciiTheme="minorHAnsi" w:hAnsiTheme="minorHAnsi"/>
          <w:sz w:val="20"/>
          <w:szCs w:val="20"/>
        </w:rPr>
        <w:t>orządkowanie przestrzeni dyskowej i bazy danych.</w:t>
      </w:r>
    </w:p>
    <w:p w14:paraId="1EA81374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funkcjonowania urządzenia i jego gotowości do pracy.</w:t>
      </w:r>
    </w:p>
    <w:p w14:paraId="30FF0443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85C2F" w:rsidRPr="00685C2F">
        <w:rPr>
          <w:rFonts w:asciiTheme="minorHAnsi" w:hAnsiTheme="minorHAnsi"/>
          <w:sz w:val="20"/>
          <w:szCs w:val="20"/>
        </w:rPr>
        <w:t>okumentacja przeglądów.</w:t>
      </w:r>
    </w:p>
    <w:p w14:paraId="42533DE1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jakości obrazu.</w:t>
      </w:r>
    </w:p>
    <w:p w14:paraId="0E79BBC8" w14:textId="77777777" w:rsid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wartości pomiarowych i aplikacyjnych aparatury z wykorzystaniem, w razie potrzeby, specjalistycznej aparatury pomiarowej i fantomów.</w:t>
      </w:r>
    </w:p>
    <w:p w14:paraId="6F258F5E" w14:textId="77777777" w:rsidR="000622E0" w:rsidRDefault="000622E0" w:rsidP="000622E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0622E0">
        <w:rPr>
          <w:rFonts w:asciiTheme="minorHAnsi" w:hAnsiTheme="minorHAnsi"/>
          <w:sz w:val="20"/>
          <w:szCs w:val="20"/>
        </w:rPr>
        <w:t xml:space="preserve">rzeprowadzenie czynności korygujących - ustawienie i regulacja odpowiednich wartości nastawień w przypadkach ich odchylenia </w:t>
      </w:r>
      <w:r>
        <w:rPr>
          <w:rFonts w:asciiTheme="minorHAnsi" w:hAnsiTheme="minorHAnsi"/>
          <w:sz w:val="20"/>
          <w:szCs w:val="20"/>
        </w:rPr>
        <w:t>od wartości optymalnych</w:t>
      </w:r>
    </w:p>
    <w:p w14:paraId="0EF9ED55" w14:textId="77777777" w:rsidR="000622E0" w:rsidRDefault="000622E0" w:rsidP="000622E0">
      <w:pPr>
        <w:pStyle w:val="Akapitzlist"/>
        <w:autoSpaceDE w:val="0"/>
        <w:autoSpaceDN w:val="0"/>
        <w:adjustRightInd w:val="0"/>
        <w:ind w:left="1276"/>
        <w:jc w:val="both"/>
        <w:rPr>
          <w:rFonts w:asciiTheme="minorHAnsi" w:hAnsiTheme="minorHAnsi"/>
          <w:sz w:val="20"/>
          <w:szCs w:val="20"/>
        </w:rPr>
      </w:pPr>
    </w:p>
    <w:p w14:paraId="4B3075D9" w14:textId="77777777" w:rsidR="00A02FDD" w:rsidRDefault="000622E0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Usługodawca wykonywać będzie usługi (przeglądy, asysta przy uzupełnianiu helu, zdalna diagnostyka) zgodnie z instrukcjami używania sprzętu, zaleceniami producenta, posiadaną specjalistyczną wiedzą i z należytą, wymaganą prawem starannością.</w:t>
      </w:r>
      <w:r w:rsidR="00A02FDD">
        <w:rPr>
          <w:rFonts w:asciiTheme="minorHAnsi" w:hAnsiTheme="minorHAnsi"/>
          <w:sz w:val="20"/>
          <w:szCs w:val="20"/>
        </w:rPr>
        <w:t xml:space="preserve"> </w:t>
      </w:r>
    </w:p>
    <w:p w14:paraId="737735F1" w14:textId="77777777" w:rsidR="00A02FDD" w:rsidRDefault="00A02FDD" w:rsidP="00A02FDD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2104C6B1" w14:textId="77777777" w:rsidR="00A868B8" w:rsidRPr="00A868B8" w:rsidRDefault="00A868B8" w:rsidP="00A868B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Calibri" w:hAnsi="Calibri"/>
          <w:sz w:val="20"/>
          <w:szCs w:val="20"/>
        </w:rPr>
      </w:pPr>
      <w:r w:rsidRPr="00A868B8">
        <w:rPr>
          <w:rFonts w:ascii="Calibri" w:hAnsi="Calibri" w:cs="Arial"/>
          <w:color w:val="000000"/>
          <w:sz w:val="20"/>
          <w:szCs w:val="20"/>
        </w:rPr>
        <w:t>Wykonawca musi posiadać aktualną umową licencyjną na dedykowane oprogramowanie serwisowe pozwalające wygenerować kody wymagane do przeprowadzenia pełnych przeglądów serwisowych.</w:t>
      </w:r>
      <w:r w:rsidRPr="00A868B8">
        <w:rPr>
          <w:rFonts w:ascii="Calibri" w:hAnsi="Calibri" w:cs="Arial"/>
          <w:i/>
          <w:iCs/>
          <w:color w:val="000000"/>
          <w:sz w:val="20"/>
          <w:szCs w:val="20"/>
        </w:rPr>
        <w:t xml:space="preserve"> </w:t>
      </w:r>
    </w:p>
    <w:p w14:paraId="766FF5C1" w14:textId="71EDD5FE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  <w:r>
        <w:rPr>
          <w:rFonts w:ascii="Calibri" w:hAnsi="Calibri" w:cs="Arial"/>
          <w:iCs/>
          <w:color w:val="000000"/>
          <w:sz w:val="20"/>
          <w:szCs w:val="20"/>
          <w:u w:val="single"/>
        </w:rPr>
        <w:t>I</w:t>
      </w:r>
      <w:r w:rsidRPr="00A868B8">
        <w:rPr>
          <w:rFonts w:ascii="Calibri" w:hAnsi="Calibri" w:cs="Arial"/>
          <w:iCs/>
          <w:color w:val="000000"/>
          <w:sz w:val="20"/>
          <w:szCs w:val="20"/>
          <w:u w:val="single"/>
        </w:rPr>
        <w:t>nformujemy, że dedykowane oprogramowanie serwisowe jest własnością Siemens Healthcare GmbH, posiadającym pełnię praw z zakresu praw własności intelektualnej do jego treści, a korzystanie z niego może się odbywać wyłącznie na podstawie odrębnie zawartej umowy licencyjnej. Podjęcie wykonania przeglądu/serwisu przez podmiot nieposiadający ww. oprogramowania może oznaczać, że podmiot ten nie wykona prawidłowo wyżej opisanej czynności, co może spowodować bezpośrednie zagrożenie zdrowia pacjentów i personelu.</w:t>
      </w:r>
    </w:p>
    <w:p w14:paraId="1652FBE4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089610C1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5257834D" w14:textId="77777777" w:rsidR="000622E0" w:rsidRDefault="000622E0" w:rsidP="000622E0">
      <w:pPr>
        <w:pStyle w:val="Normalny2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lastRenderedPageBreak/>
        <w:t>Zdalna diagnostyka</w:t>
      </w:r>
      <w:r>
        <w:rPr>
          <w:rFonts w:asciiTheme="minorHAnsi" w:hAnsiTheme="minorHAnsi"/>
          <w:sz w:val="20"/>
          <w:szCs w:val="20"/>
        </w:rPr>
        <w:t>:</w:t>
      </w:r>
    </w:p>
    <w:p w14:paraId="13F4D8D6" w14:textId="77777777" w:rsidR="00A868B8" w:rsidRPr="00A868B8" w:rsidRDefault="000622E0" w:rsidP="00A868B8">
      <w:pPr>
        <w:pStyle w:val="Akapitzlist"/>
        <w:numPr>
          <w:ilvl w:val="0"/>
          <w:numId w:val="15"/>
        </w:numPr>
        <w:ind w:left="1276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868B8">
        <w:rPr>
          <w:rFonts w:asciiTheme="minorHAnsi" w:hAnsiTheme="minorHAnsi"/>
          <w:sz w:val="20"/>
          <w:szCs w:val="20"/>
        </w:rPr>
        <w:t>wykorzystanie systemu teleinformatycznego do stałego monitorowania para</w:t>
      </w:r>
      <w:r w:rsidR="00A868B8" w:rsidRPr="00A868B8">
        <w:rPr>
          <w:rFonts w:asciiTheme="minorHAnsi" w:hAnsiTheme="minorHAnsi"/>
          <w:sz w:val="20"/>
          <w:szCs w:val="20"/>
        </w:rPr>
        <w:t xml:space="preserve">metrów magnesu nadprzewodzącego </w:t>
      </w:r>
      <w:r w:rsidR="00A868B8" w:rsidRPr="00A868B8">
        <w:rPr>
          <w:rFonts w:ascii="Calibri" w:hAnsi="Calibri" w:cs="Arial"/>
          <w:color w:val="000000"/>
          <w:sz w:val="20"/>
          <w:szCs w:val="20"/>
        </w:rPr>
        <w:t>na podstawie odczytu z przynajmniej 2 czujników poziomu helu i czujnika temperatury głowicy magnesu.</w:t>
      </w:r>
    </w:p>
    <w:p w14:paraId="10CAD360" w14:textId="77777777" w:rsidR="000622E0" w:rsidRDefault="000622E0" w:rsidP="000622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0622E0">
        <w:rPr>
          <w:rFonts w:asciiTheme="minorHAnsi" w:hAnsiTheme="minorHAnsi"/>
          <w:sz w:val="20"/>
          <w:szCs w:val="20"/>
        </w:rPr>
        <w:t>dalna diagnostyka zgłoszonych awarii skanera w zakresie sprawdzenia funkcjonowania urządzenia i jego gotowości do pracy</w:t>
      </w:r>
    </w:p>
    <w:p w14:paraId="501BCDB0" w14:textId="77777777" w:rsidR="00E56822" w:rsidRPr="000622E0" w:rsidRDefault="00E56822" w:rsidP="00E56822">
      <w:pPr>
        <w:pStyle w:val="Akapitzlist"/>
        <w:autoSpaceDE w:val="0"/>
        <w:autoSpaceDN w:val="0"/>
        <w:adjustRightInd w:val="0"/>
        <w:spacing w:after="120"/>
        <w:ind w:left="1276"/>
        <w:jc w:val="both"/>
        <w:rPr>
          <w:rFonts w:asciiTheme="minorHAnsi" w:hAnsiTheme="minorHAnsi"/>
          <w:sz w:val="20"/>
          <w:szCs w:val="20"/>
        </w:rPr>
      </w:pPr>
    </w:p>
    <w:p w14:paraId="55AEB22D" w14:textId="77777777" w:rsidR="00E56822" w:rsidRDefault="00E56822" w:rsidP="00E568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E56822">
        <w:rPr>
          <w:rFonts w:asciiTheme="minorHAnsi" w:hAnsiTheme="minorHAnsi"/>
          <w:sz w:val="20"/>
          <w:szCs w:val="20"/>
        </w:rPr>
        <w:t>Częstotliwość i zakres przeglądów technicznych wyn</w:t>
      </w:r>
      <w:r w:rsidR="00D370EB">
        <w:rPr>
          <w:rFonts w:asciiTheme="minorHAnsi" w:hAnsiTheme="minorHAnsi"/>
          <w:sz w:val="20"/>
          <w:szCs w:val="20"/>
        </w:rPr>
        <w:t>ikać będą z zaleceń producenta s</w:t>
      </w:r>
      <w:r w:rsidRPr="00E56822">
        <w:rPr>
          <w:rFonts w:asciiTheme="minorHAnsi" w:hAnsiTheme="minorHAnsi"/>
          <w:sz w:val="20"/>
          <w:szCs w:val="20"/>
        </w:rPr>
        <w:t>przętu znajdujących się w instrukcjach używania - przynajmniej 1 przegląd na okres 6 miesięcy</w:t>
      </w:r>
    </w:p>
    <w:p w14:paraId="29F64F00" w14:textId="77777777" w:rsidR="006C4FC2" w:rsidRPr="006C4FC2" w:rsidRDefault="006C4FC2" w:rsidP="006C4F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694186FE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</w:t>
      </w:r>
      <w:r>
        <w:rPr>
          <w:rFonts w:asciiTheme="minorHAnsi" w:hAnsiTheme="minorHAnsi"/>
          <w:sz w:val="20"/>
          <w:szCs w:val="20"/>
        </w:rPr>
        <w:t>zenia i jego gotowości do pracy</w:t>
      </w:r>
    </w:p>
    <w:p w14:paraId="11E4AFDE" w14:textId="77777777" w:rsidR="00D370EB" w:rsidRDefault="00D370EB" w:rsidP="00D370EB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0D3B9937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Zapewnienie bezpieczeństwa pracy urządzenia w związku z aktualnymi zaleceniami producenta</w:t>
      </w:r>
    </w:p>
    <w:p w14:paraId="427183FC" w14:textId="77777777" w:rsidR="00994216" w:rsidRPr="00994216" w:rsidRDefault="00994216" w:rsidP="00994216">
      <w:pPr>
        <w:pStyle w:val="Akapitzlist"/>
        <w:rPr>
          <w:rFonts w:asciiTheme="minorHAnsi" w:hAnsiTheme="minorHAnsi"/>
          <w:sz w:val="20"/>
          <w:szCs w:val="20"/>
        </w:rPr>
      </w:pPr>
    </w:p>
    <w:p w14:paraId="17E12C72" w14:textId="77777777" w:rsidR="00685C2F" w:rsidRDefault="00D370EB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994216">
        <w:rPr>
          <w:rFonts w:asciiTheme="minorHAnsi" w:hAnsiTheme="minorHAnsi"/>
          <w:sz w:val="20"/>
          <w:szCs w:val="20"/>
        </w:rPr>
        <w:t>Umowa</w:t>
      </w:r>
      <w:r w:rsidR="00685C2F" w:rsidRPr="00994216">
        <w:rPr>
          <w:rFonts w:asciiTheme="minorHAnsi" w:hAnsiTheme="minorHAnsi"/>
          <w:sz w:val="20"/>
          <w:szCs w:val="20"/>
        </w:rPr>
        <w:t xml:space="preserve"> obejmuje dostawę materiałów niezbędnych do przeprowadzenia przeglądów w tym TALES</w:t>
      </w:r>
    </w:p>
    <w:p w14:paraId="3472D959" w14:textId="77777777" w:rsidR="00994216" w:rsidRPr="00994216" w:rsidRDefault="00994216" w:rsidP="00994216">
      <w:pPr>
        <w:pStyle w:val="Akapitzlist"/>
        <w:ind w:left="993" w:hanging="142"/>
        <w:rPr>
          <w:rFonts w:asciiTheme="minorHAnsi" w:hAnsiTheme="minorHAnsi"/>
          <w:sz w:val="20"/>
          <w:szCs w:val="20"/>
        </w:rPr>
      </w:pPr>
    </w:p>
    <w:p w14:paraId="3508ED32" w14:textId="77777777" w:rsidR="00994216" w:rsidRDefault="00994216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317D38">
        <w:rPr>
          <w:rFonts w:asciiTheme="minorHAnsi" w:hAnsiTheme="minorHAnsi"/>
          <w:sz w:val="20"/>
          <w:szCs w:val="20"/>
        </w:rPr>
        <w:t>Asysta serwisanta przy koniecznych uzupełnieniach ciekłego helu w magnesie</w:t>
      </w:r>
    </w:p>
    <w:p w14:paraId="21E5137F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bookmarkEnd w:id="0"/>
    <w:p w14:paraId="028ABB6A" w14:textId="77777777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94216">
        <w:rPr>
          <w:rFonts w:asciiTheme="minorHAnsi" w:hAnsiTheme="minorHAnsi" w:cstheme="minorHAnsi"/>
          <w:sz w:val="20"/>
          <w:szCs w:val="20"/>
        </w:rPr>
        <w:t>Termin obowiązywania umowy</w:t>
      </w:r>
      <w:r w:rsidRPr="0033544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3B3727">
        <w:rPr>
          <w:rFonts w:asciiTheme="minorHAnsi" w:hAnsiTheme="minorHAnsi" w:cstheme="minorHAnsi"/>
          <w:sz w:val="20"/>
          <w:szCs w:val="20"/>
        </w:rPr>
        <w:t>6</w:t>
      </w:r>
      <w:r w:rsidRPr="0033544B">
        <w:rPr>
          <w:rFonts w:asciiTheme="minorHAnsi" w:hAnsiTheme="minorHAnsi" w:cstheme="minorHAnsi"/>
          <w:sz w:val="20"/>
          <w:szCs w:val="20"/>
        </w:rPr>
        <w:t xml:space="preserve">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28C5C215" w14:textId="77777777" w:rsidR="008F0901" w:rsidRPr="002F4B38" w:rsidRDefault="008F0901" w:rsidP="007F4B9A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14:paraId="3508FFB7" w14:textId="456E0515" w:rsidR="008F0901" w:rsidRPr="002F4B38" w:rsidRDefault="008F0901" w:rsidP="008F0901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2F4B38">
        <w:rPr>
          <w:rFonts w:ascii="Calibri" w:hAnsi="Calibri" w:cstheme="minorHAnsi"/>
          <w:b/>
          <w:bCs/>
          <w:sz w:val="20"/>
          <w:szCs w:val="20"/>
        </w:rPr>
        <w:t>II Warunki udziału w postępowaniu oraz opis sposobu dokonywania oceny ich spełnienia</w:t>
      </w:r>
    </w:p>
    <w:p w14:paraId="110C17B2" w14:textId="77777777" w:rsidR="002F4B38" w:rsidRDefault="002F4B38" w:rsidP="002F4B38">
      <w:pPr>
        <w:autoSpaceDE w:val="0"/>
        <w:autoSpaceDN w:val="0"/>
        <w:adjustRightInd w:val="0"/>
        <w:jc w:val="both"/>
        <w:rPr>
          <w:rFonts w:cstheme="minorHAnsi"/>
          <w:bCs/>
          <w:i/>
          <w:sz w:val="20"/>
          <w:szCs w:val="20"/>
        </w:rPr>
      </w:pPr>
    </w:p>
    <w:p w14:paraId="1E69FEFD" w14:textId="5F62E9EA" w:rsidR="008F0901" w:rsidRPr="00F608B9" w:rsidRDefault="008F0901" w:rsidP="008F0901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>Wykonawca w okresie ostatnich 3 lat, przed upływem terminu składania ofert,</w:t>
      </w:r>
      <w:r w:rsidRPr="008F09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 xml:space="preserve">wykonał co najmniej 3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 xml:space="preserve">li roku – 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potwierdzone </w:t>
      </w:r>
      <w:r>
        <w:rPr>
          <w:rFonts w:ascii="Calibri" w:hAnsi="Calibri" w:cs="Arial"/>
          <w:color w:val="000000"/>
          <w:sz w:val="20"/>
          <w:szCs w:val="20"/>
          <w:u w:val="single"/>
        </w:rPr>
        <w:t>zaświadczeniem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u w:val="single"/>
        </w:rPr>
        <w:br/>
        <w:t>o wykonaniu usługi</w:t>
      </w:r>
      <w:r w:rsidR="000A07F5">
        <w:rPr>
          <w:rFonts w:ascii="Calibri" w:hAnsi="Calibri" w:cs="Arial"/>
          <w:color w:val="000000"/>
          <w:sz w:val="20"/>
          <w:szCs w:val="20"/>
          <w:u w:val="single"/>
        </w:rPr>
        <w:t>.</w:t>
      </w:r>
    </w:p>
    <w:p w14:paraId="1AA36214" w14:textId="77777777" w:rsidR="008F0901" w:rsidRDefault="008F0901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447494" w14:textId="71FF41D3" w:rsidR="00994216" w:rsidRDefault="00994216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421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F4B38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94216">
        <w:rPr>
          <w:rFonts w:asciiTheme="minorHAnsi" w:hAnsiTheme="minorHAnsi" w:cstheme="minorHAnsi"/>
          <w:b/>
          <w:bCs/>
          <w:sz w:val="20"/>
          <w:szCs w:val="20"/>
        </w:rPr>
        <w:t>I Kryteria oceny ofert</w:t>
      </w:r>
    </w:p>
    <w:p w14:paraId="6C4AEA51" w14:textId="77777777" w:rsidR="002F4B38" w:rsidRPr="00994216" w:rsidRDefault="002F4B38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39058C" w14:textId="77777777" w:rsidR="00317D38" w:rsidRDefault="00994216" w:rsidP="009942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DB528E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DB528E">
        <w:rPr>
          <w:rFonts w:ascii="Calibri" w:hAnsi="Calibri" w:cstheme="minorHAnsi"/>
          <w:sz w:val="20"/>
          <w:szCs w:val="20"/>
        </w:rPr>
        <w:t>w postępowaniu oraz wszystkich wymagań w Opisie Przedmiotu Zamówienia.</w:t>
      </w:r>
    </w:p>
    <w:p w14:paraId="469683AE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46906A" w14:textId="71B9A1A8" w:rsidR="007F4B9A" w:rsidRPr="0033544B" w:rsidRDefault="002F4B38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="007F4B9A"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91F030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05C5140B" w14:textId="77777777" w:rsidR="007F4B9A" w:rsidRPr="00491BFB" w:rsidRDefault="00376D5B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zawierać i</w:t>
      </w:r>
      <w:r w:rsidR="007F4B9A" w:rsidRPr="00491BFB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749EA94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D22833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CE09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821570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21379C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4033E53E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lastRenderedPageBreak/>
        <w:t>Wykonawca, którego oferta zostanie wybrana, przed podpisaniem umowy dostarczy skany:</w:t>
      </w:r>
      <w:r w:rsidR="00CC6559" w:rsidRPr="00491BFB">
        <w:rPr>
          <w:rFonts w:asciiTheme="minorHAnsi" w:hAnsiTheme="minorHAnsi"/>
          <w:sz w:val="20"/>
          <w:szCs w:val="20"/>
        </w:rPr>
        <w:t xml:space="preserve"> </w:t>
      </w:r>
      <w:r w:rsidRPr="00491BFB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454DACEF" w14:textId="4139F3C7" w:rsidR="00C0193F" w:rsidRPr="002F58D7" w:rsidRDefault="00C0193F" w:rsidP="00C0193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r>
        <w:rPr>
          <w:rFonts w:asciiTheme="minorHAnsi" w:hAnsiTheme="minorHAnsi"/>
          <w:color w:val="000000"/>
          <w:sz w:val="20"/>
          <w:szCs w:val="20"/>
        </w:rPr>
        <w:t>b.kossowski@nencki.edu.pl.</w:t>
      </w:r>
    </w:p>
    <w:p w14:paraId="4EB8402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491BFB">
        <w:rPr>
          <w:rFonts w:asciiTheme="minorHAnsi" w:hAnsiTheme="minorHAnsi"/>
          <w:b/>
          <w:sz w:val="20"/>
          <w:szCs w:val="20"/>
        </w:rPr>
        <w:t>S</w:t>
      </w:r>
      <w:r w:rsidR="00BF3E2A" w:rsidRPr="00491BF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5762A6" w:rsidRPr="00491BFB">
        <w:rPr>
          <w:rFonts w:asciiTheme="minorHAnsi" w:hAnsiTheme="minorHAnsi" w:cstheme="minorHAnsi"/>
          <w:b/>
          <w:sz w:val="20"/>
          <w:szCs w:val="20"/>
        </w:rPr>
        <w:t>skanera rezonansu magnetycznego.</w:t>
      </w:r>
    </w:p>
    <w:p w14:paraId="0D8331E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7D1D404E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6638D9AF" w14:textId="797BAE34"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2E03F766" w14:textId="77777777" w:rsidR="007F4B9A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7995043B" w14:textId="77777777" w:rsidR="007F4B9A" w:rsidRPr="0033544B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3B3727">
        <w:rPr>
          <w:rFonts w:asciiTheme="minorHAnsi" w:hAnsiTheme="minorHAnsi"/>
          <w:color w:val="000000"/>
          <w:sz w:val="20"/>
          <w:szCs w:val="20"/>
        </w:rPr>
        <w:t>6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64D03E39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3EFF50A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47983C6D" w14:textId="77777777" w:rsidR="00317D38" w:rsidRPr="008B1625" w:rsidRDefault="007F4B9A" w:rsidP="00B95541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8B1625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3652F97D" w14:textId="77777777" w:rsidR="006C4FC2" w:rsidRDefault="006C4FC2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3A0CB9" w14:textId="2FB54B0E" w:rsidR="002578A9" w:rsidRPr="00AC6864" w:rsidRDefault="00AC6864" w:rsidP="006C4FC2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AC6864">
        <w:rPr>
          <w:rFonts w:asciiTheme="minorHAnsi" w:hAnsiTheme="minorHAnsi"/>
          <w:sz w:val="20"/>
          <w:szCs w:val="20"/>
        </w:rPr>
        <w:tab/>
      </w:r>
      <w:r w:rsidR="008058D6">
        <w:rPr>
          <w:rFonts w:asciiTheme="minorHAnsi" w:hAnsiTheme="minorHAnsi"/>
          <w:sz w:val="20"/>
          <w:szCs w:val="20"/>
        </w:rPr>
        <w:t xml:space="preserve">Ul. 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</w:t>
      </w:r>
      <w:bookmarkStart w:id="1" w:name="_GoBack"/>
      <w:bookmarkEnd w:id="1"/>
      <w:r w:rsidRPr="00AC6864">
        <w:rPr>
          <w:rFonts w:asciiTheme="minorHAnsi" w:hAnsiTheme="minorHAnsi" w:cstheme="minorHAnsi"/>
          <w:color w:val="365F91"/>
          <w:sz w:val="20"/>
          <w:szCs w:val="20"/>
        </w:rPr>
        <w:t>wa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; </w:t>
      </w:r>
      <w:hyperlink r:id="rId8" w:history="1">
        <w:r w:rsidR="00C0193F" w:rsidRPr="00F537F9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sectPr w:rsidR="002578A9" w:rsidRPr="00AC6864" w:rsidSect="00B95541">
      <w:headerReference w:type="first" r:id="rId9"/>
      <w:pgSz w:w="11906" w:h="16838"/>
      <w:pgMar w:top="851" w:right="1418" w:bottom="56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27C85" w14:textId="77777777" w:rsidR="00FD6A1C" w:rsidRDefault="00FD6A1C" w:rsidP="00BE3537">
      <w:r>
        <w:separator/>
      </w:r>
    </w:p>
  </w:endnote>
  <w:endnote w:type="continuationSeparator" w:id="0">
    <w:p w14:paraId="2B121FCA" w14:textId="77777777" w:rsidR="00FD6A1C" w:rsidRDefault="00FD6A1C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F3B18" w14:textId="77777777" w:rsidR="00FD6A1C" w:rsidRDefault="00FD6A1C" w:rsidP="00BE3537">
      <w:r>
        <w:separator/>
      </w:r>
    </w:p>
  </w:footnote>
  <w:footnote w:type="continuationSeparator" w:id="0">
    <w:p w14:paraId="2C4DCEEE" w14:textId="77777777" w:rsidR="00FD6A1C" w:rsidRDefault="00FD6A1C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3917C" w14:textId="77777777" w:rsidR="00CB074D" w:rsidRDefault="00CB074D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751C7EB" wp14:editId="476F7011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4" w15:restartNumberingAfterBreak="0">
    <w:nsid w:val="2A745B75"/>
    <w:multiLevelType w:val="hybridMultilevel"/>
    <w:tmpl w:val="B0E2591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3A240C"/>
    <w:multiLevelType w:val="multilevel"/>
    <w:tmpl w:val="39F61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BD1259"/>
    <w:multiLevelType w:val="multilevel"/>
    <w:tmpl w:val="309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36EA1"/>
    <w:multiLevelType w:val="hybridMultilevel"/>
    <w:tmpl w:val="54E2E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622E0"/>
    <w:rsid w:val="00062980"/>
    <w:rsid w:val="0007302A"/>
    <w:rsid w:val="00085FD8"/>
    <w:rsid w:val="000A07F5"/>
    <w:rsid w:val="000A240E"/>
    <w:rsid w:val="000B171B"/>
    <w:rsid w:val="000B4946"/>
    <w:rsid w:val="000D60C6"/>
    <w:rsid w:val="000E0DF2"/>
    <w:rsid w:val="000E42C6"/>
    <w:rsid w:val="000F2BEF"/>
    <w:rsid w:val="000F5B2F"/>
    <w:rsid w:val="00107CEA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55B8E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1F27C3"/>
    <w:rsid w:val="00201BE6"/>
    <w:rsid w:val="00205A86"/>
    <w:rsid w:val="0021271A"/>
    <w:rsid w:val="00222404"/>
    <w:rsid w:val="00224ECD"/>
    <w:rsid w:val="00225641"/>
    <w:rsid w:val="002264F2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A76A1"/>
    <w:rsid w:val="002B7BF7"/>
    <w:rsid w:val="002D0BF5"/>
    <w:rsid w:val="002D515A"/>
    <w:rsid w:val="002E37B6"/>
    <w:rsid w:val="002E669F"/>
    <w:rsid w:val="002F21D6"/>
    <w:rsid w:val="002F4B38"/>
    <w:rsid w:val="003017A0"/>
    <w:rsid w:val="00302B82"/>
    <w:rsid w:val="0030336D"/>
    <w:rsid w:val="00306351"/>
    <w:rsid w:val="00307D7E"/>
    <w:rsid w:val="003120F6"/>
    <w:rsid w:val="00317CE3"/>
    <w:rsid w:val="00317D38"/>
    <w:rsid w:val="00320FA1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8166E"/>
    <w:rsid w:val="003975E1"/>
    <w:rsid w:val="003A2C9E"/>
    <w:rsid w:val="003A47F5"/>
    <w:rsid w:val="003A591B"/>
    <w:rsid w:val="003B3727"/>
    <w:rsid w:val="003B4C2B"/>
    <w:rsid w:val="003C2057"/>
    <w:rsid w:val="003C2A41"/>
    <w:rsid w:val="003C609D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1BFB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762A6"/>
    <w:rsid w:val="00591A86"/>
    <w:rsid w:val="00591AA4"/>
    <w:rsid w:val="00592072"/>
    <w:rsid w:val="00592546"/>
    <w:rsid w:val="00593742"/>
    <w:rsid w:val="00596306"/>
    <w:rsid w:val="005967A9"/>
    <w:rsid w:val="005A41B9"/>
    <w:rsid w:val="005B0E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85C2F"/>
    <w:rsid w:val="00691ED5"/>
    <w:rsid w:val="00695541"/>
    <w:rsid w:val="006A3850"/>
    <w:rsid w:val="006A4BE8"/>
    <w:rsid w:val="006B108E"/>
    <w:rsid w:val="006B4C49"/>
    <w:rsid w:val="006C2239"/>
    <w:rsid w:val="006C4D99"/>
    <w:rsid w:val="006C4FC2"/>
    <w:rsid w:val="006D09EE"/>
    <w:rsid w:val="006D0DDF"/>
    <w:rsid w:val="006D33DE"/>
    <w:rsid w:val="006D5C7A"/>
    <w:rsid w:val="006E5193"/>
    <w:rsid w:val="00703C08"/>
    <w:rsid w:val="00715562"/>
    <w:rsid w:val="00720BA1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B669D"/>
    <w:rsid w:val="007D38DF"/>
    <w:rsid w:val="007D3CAF"/>
    <w:rsid w:val="007E1673"/>
    <w:rsid w:val="007E3418"/>
    <w:rsid w:val="007E67E1"/>
    <w:rsid w:val="007F0D87"/>
    <w:rsid w:val="007F2609"/>
    <w:rsid w:val="007F2B67"/>
    <w:rsid w:val="007F4B9A"/>
    <w:rsid w:val="007F67F5"/>
    <w:rsid w:val="008058D6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1625"/>
    <w:rsid w:val="008B4C0A"/>
    <w:rsid w:val="008C64CD"/>
    <w:rsid w:val="008F0901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4216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2FDD"/>
    <w:rsid w:val="00A03573"/>
    <w:rsid w:val="00A1517B"/>
    <w:rsid w:val="00A308EA"/>
    <w:rsid w:val="00A30AB2"/>
    <w:rsid w:val="00A425CC"/>
    <w:rsid w:val="00A45A2C"/>
    <w:rsid w:val="00A47623"/>
    <w:rsid w:val="00A545D1"/>
    <w:rsid w:val="00A67780"/>
    <w:rsid w:val="00A812EA"/>
    <w:rsid w:val="00A868B8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15D"/>
    <w:rsid w:val="00B83819"/>
    <w:rsid w:val="00B9553D"/>
    <w:rsid w:val="00B95541"/>
    <w:rsid w:val="00B96C20"/>
    <w:rsid w:val="00BB6A7F"/>
    <w:rsid w:val="00BC59CF"/>
    <w:rsid w:val="00BE0DB8"/>
    <w:rsid w:val="00BE3537"/>
    <w:rsid w:val="00BF0316"/>
    <w:rsid w:val="00BF3E2A"/>
    <w:rsid w:val="00BF6BC1"/>
    <w:rsid w:val="00C0193F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074D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370EB"/>
    <w:rsid w:val="00D4110C"/>
    <w:rsid w:val="00D5237C"/>
    <w:rsid w:val="00D61DE8"/>
    <w:rsid w:val="00D66526"/>
    <w:rsid w:val="00D74CF0"/>
    <w:rsid w:val="00D940FE"/>
    <w:rsid w:val="00DA3019"/>
    <w:rsid w:val="00DA7478"/>
    <w:rsid w:val="00DB3F3F"/>
    <w:rsid w:val="00DB528E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56822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DE0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1714"/>
    <w:rsid w:val="00FA63F9"/>
    <w:rsid w:val="00FC2603"/>
    <w:rsid w:val="00FC5211"/>
    <w:rsid w:val="00FD6A1C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6E4D"/>
  <w15:docId w15:val="{64C748CD-0D7D-4645-8451-4D58A231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Style35">
    <w:name w:val="Style35"/>
    <w:basedOn w:val="Normalny"/>
    <w:rsid w:val="008F0901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826B-A1A9-4F5F-96C6-179120C0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2020-12-18T14:17:00Z</dcterms:created>
  <dcterms:modified xsi:type="dcterms:W3CDTF">2020-12-18T14:18:00Z</dcterms:modified>
</cp:coreProperties>
</file>