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BB7" w:rsidRPr="002329A0" w:rsidRDefault="00092BB7" w:rsidP="002329A0">
      <w:pPr>
        <w:spacing w:after="0" w:line="240" w:lineRule="auto"/>
        <w:rPr>
          <w:rFonts w:cstheme="minorHAnsi"/>
          <w:noProof/>
          <w:sz w:val="20"/>
          <w:szCs w:val="20"/>
        </w:rPr>
      </w:pPr>
      <w:bookmarkStart w:id="0" w:name="_GoBack"/>
      <w:bookmarkEnd w:id="0"/>
      <w:r w:rsidRPr="002329A0">
        <w:rPr>
          <w:rFonts w:cstheme="minorHAnsi"/>
          <w:noProof/>
          <w:sz w:val="20"/>
          <w:szCs w:val="20"/>
          <w:lang w:eastAsia="pl-PL"/>
        </w:rPr>
        <w:drawing>
          <wp:anchor distT="0" distB="0" distL="114300" distR="114300" simplePos="0" relativeHeight="251659264" behindDoc="0" locked="0" layoutInCell="1" allowOverlap="1">
            <wp:simplePos x="0" y="0"/>
            <wp:positionH relativeFrom="column">
              <wp:posOffset>0</wp:posOffset>
            </wp:positionH>
            <wp:positionV relativeFrom="paragraph">
              <wp:posOffset>285750</wp:posOffset>
            </wp:positionV>
            <wp:extent cx="5524500" cy="885825"/>
            <wp:effectExtent l="0" t="0" r="0" b="9525"/>
            <wp:wrapSquare wrapText="left"/>
            <wp:docPr id="6" name="Obraz 6" descr="nencki logo_po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nencki logo_pol-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524500" cy="885825"/>
                    </a:xfrm>
                    <a:prstGeom prst="rect">
                      <a:avLst/>
                    </a:prstGeom>
                    <a:noFill/>
                  </pic:spPr>
                </pic:pic>
              </a:graphicData>
            </a:graphic>
          </wp:anchor>
        </w:drawing>
      </w:r>
      <w:r w:rsidR="00971A06">
        <w:rPr>
          <w:rFonts w:cstheme="minorHAnsi"/>
          <w:noProof/>
          <w:sz w:val="20"/>
          <w:szCs w:val="20"/>
        </w:rPr>
        <w:t>\</w:t>
      </w:r>
    </w:p>
    <w:p w:rsidR="00E42F04" w:rsidRDefault="00E42F04" w:rsidP="002329A0">
      <w:pPr>
        <w:spacing w:after="0" w:line="240" w:lineRule="auto"/>
        <w:jc w:val="right"/>
        <w:rPr>
          <w:rFonts w:cstheme="minorHAnsi"/>
          <w:sz w:val="20"/>
          <w:szCs w:val="20"/>
        </w:rPr>
      </w:pPr>
    </w:p>
    <w:p w:rsidR="00092BB7" w:rsidRPr="002329A0" w:rsidRDefault="00092BB7" w:rsidP="002329A0">
      <w:pPr>
        <w:spacing w:after="0" w:line="240" w:lineRule="auto"/>
        <w:jc w:val="right"/>
        <w:rPr>
          <w:rFonts w:cstheme="minorHAnsi"/>
          <w:sz w:val="20"/>
          <w:szCs w:val="20"/>
        </w:rPr>
      </w:pPr>
      <w:r w:rsidRPr="002329A0">
        <w:rPr>
          <w:rFonts w:cstheme="minorHAnsi"/>
          <w:sz w:val="20"/>
          <w:szCs w:val="20"/>
        </w:rPr>
        <w:t>Warszawa, dnia</w:t>
      </w:r>
      <w:r w:rsidR="00863F54">
        <w:rPr>
          <w:rFonts w:cstheme="minorHAnsi"/>
          <w:sz w:val="20"/>
          <w:szCs w:val="20"/>
        </w:rPr>
        <w:t xml:space="preserve"> </w:t>
      </w:r>
      <w:r w:rsidR="00C7561A">
        <w:rPr>
          <w:rFonts w:cstheme="minorHAnsi"/>
          <w:sz w:val="20"/>
          <w:szCs w:val="20"/>
        </w:rPr>
        <w:t>04.11</w:t>
      </w:r>
      <w:r w:rsidR="006230BF">
        <w:rPr>
          <w:rFonts w:cstheme="minorHAnsi"/>
          <w:sz w:val="20"/>
          <w:szCs w:val="20"/>
        </w:rPr>
        <w:t>.2019</w:t>
      </w:r>
      <w:r w:rsidRPr="002329A0">
        <w:rPr>
          <w:rFonts w:cstheme="minorHAnsi"/>
          <w:sz w:val="20"/>
          <w:szCs w:val="20"/>
        </w:rPr>
        <w:t xml:space="preserve"> r.</w:t>
      </w:r>
    </w:p>
    <w:p w:rsidR="00E42F04" w:rsidRDefault="00E42F04" w:rsidP="002329A0">
      <w:pPr>
        <w:autoSpaceDE w:val="0"/>
        <w:autoSpaceDN w:val="0"/>
        <w:adjustRightInd w:val="0"/>
        <w:spacing w:after="0" w:line="240" w:lineRule="auto"/>
        <w:jc w:val="center"/>
        <w:rPr>
          <w:rFonts w:cstheme="minorHAnsi"/>
          <w:b/>
          <w:bCs/>
          <w:caps/>
          <w:sz w:val="20"/>
          <w:szCs w:val="20"/>
        </w:rPr>
      </w:pPr>
    </w:p>
    <w:p w:rsidR="00092BB7" w:rsidRPr="002329A0" w:rsidRDefault="00092BB7" w:rsidP="002329A0">
      <w:pPr>
        <w:autoSpaceDE w:val="0"/>
        <w:autoSpaceDN w:val="0"/>
        <w:adjustRightInd w:val="0"/>
        <w:spacing w:after="0" w:line="240" w:lineRule="auto"/>
        <w:jc w:val="center"/>
        <w:rPr>
          <w:rFonts w:cstheme="minorHAnsi"/>
          <w:b/>
          <w:bCs/>
          <w:caps/>
          <w:sz w:val="20"/>
          <w:szCs w:val="20"/>
        </w:rPr>
      </w:pPr>
      <w:r w:rsidRPr="002329A0">
        <w:rPr>
          <w:rFonts w:cstheme="minorHAnsi"/>
          <w:b/>
          <w:bCs/>
          <w:caps/>
          <w:sz w:val="20"/>
          <w:szCs w:val="20"/>
        </w:rPr>
        <w:t xml:space="preserve">ZapytaniE ofertowe nr </w:t>
      </w:r>
      <w:r w:rsidR="00863F54">
        <w:rPr>
          <w:rFonts w:cstheme="minorHAnsi"/>
          <w:b/>
          <w:bCs/>
          <w:caps/>
          <w:sz w:val="20"/>
          <w:szCs w:val="20"/>
        </w:rPr>
        <w:t>1</w:t>
      </w:r>
      <w:r w:rsidR="00C7561A">
        <w:rPr>
          <w:rFonts w:cstheme="minorHAnsi"/>
          <w:b/>
          <w:bCs/>
          <w:caps/>
          <w:sz w:val="20"/>
          <w:szCs w:val="20"/>
        </w:rPr>
        <w:t>40</w:t>
      </w:r>
      <w:r w:rsidR="00863F54">
        <w:rPr>
          <w:rFonts w:cstheme="minorHAnsi"/>
          <w:b/>
          <w:bCs/>
          <w:caps/>
          <w:sz w:val="20"/>
          <w:szCs w:val="20"/>
        </w:rPr>
        <w:t>/2019</w:t>
      </w:r>
    </w:p>
    <w:p w:rsidR="00092BB7" w:rsidRPr="002329A0" w:rsidRDefault="00092BB7" w:rsidP="002329A0">
      <w:pPr>
        <w:autoSpaceDE w:val="0"/>
        <w:autoSpaceDN w:val="0"/>
        <w:adjustRightInd w:val="0"/>
        <w:spacing w:after="0" w:line="240" w:lineRule="auto"/>
        <w:jc w:val="center"/>
        <w:rPr>
          <w:rFonts w:cstheme="minorHAnsi"/>
          <w:sz w:val="20"/>
          <w:szCs w:val="20"/>
        </w:rPr>
      </w:pPr>
      <w:r w:rsidRPr="002329A0">
        <w:rPr>
          <w:rFonts w:cstheme="minorHAnsi"/>
          <w:sz w:val="20"/>
          <w:szCs w:val="20"/>
        </w:rPr>
        <w:t xml:space="preserve">na dostawę </w:t>
      </w:r>
    </w:p>
    <w:p w:rsidR="00C7561A" w:rsidRDefault="00C7561A" w:rsidP="00C7561A">
      <w:pPr>
        <w:autoSpaceDE w:val="0"/>
        <w:autoSpaceDN w:val="0"/>
        <w:adjustRightInd w:val="0"/>
        <w:ind w:left="2124" w:firstLine="708"/>
        <w:rPr>
          <w:rFonts w:eastAsia="Batang" w:cstheme="minorHAnsi"/>
          <w:b/>
          <w:sz w:val="24"/>
          <w:szCs w:val="24"/>
        </w:rPr>
      </w:pPr>
      <w:r w:rsidRPr="0044157E">
        <w:rPr>
          <w:rFonts w:eastAsia="Batang" w:cstheme="minorHAnsi"/>
          <w:b/>
          <w:sz w:val="24"/>
          <w:szCs w:val="24"/>
        </w:rPr>
        <w:t>Spektrofotometr</w:t>
      </w:r>
      <w:r>
        <w:rPr>
          <w:rFonts w:eastAsia="Batang" w:cstheme="minorHAnsi"/>
          <w:b/>
          <w:sz w:val="24"/>
          <w:szCs w:val="24"/>
        </w:rPr>
        <w:t>u</w:t>
      </w:r>
      <w:r w:rsidRPr="0044157E">
        <w:rPr>
          <w:rFonts w:eastAsia="Batang" w:cstheme="minorHAnsi"/>
          <w:b/>
          <w:sz w:val="24"/>
          <w:szCs w:val="24"/>
        </w:rPr>
        <w:t xml:space="preserve"> UV/VIS </w:t>
      </w:r>
    </w:p>
    <w:p w:rsidR="00092BB7" w:rsidRPr="002329A0" w:rsidRDefault="00092BB7" w:rsidP="002329A0">
      <w:pPr>
        <w:autoSpaceDE w:val="0"/>
        <w:autoSpaceDN w:val="0"/>
        <w:adjustRightInd w:val="0"/>
        <w:spacing w:after="0" w:line="240" w:lineRule="auto"/>
        <w:jc w:val="center"/>
        <w:rPr>
          <w:rFonts w:cstheme="minorHAnsi"/>
          <w:sz w:val="20"/>
          <w:szCs w:val="20"/>
        </w:rPr>
      </w:pPr>
      <w:r w:rsidRPr="002329A0">
        <w:rPr>
          <w:rFonts w:cstheme="minorHAnsi"/>
          <w:sz w:val="20"/>
          <w:szCs w:val="20"/>
        </w:rPr>
        <w:t>do Instytutu Biologii Doświadczalnej im. Marcelego Nenckiego</w:t>
      </w:r>
    </w:p>
    <w:p w:rsidR="00092BB7" w:rsidRPr="002329A0" w:rsidRDefault="00092BB7" w:rsidP="002329A0">
      <w:pPr>
        <w:autoSpaceDE w:val="0"/>
        <w:autoSpaceDN w:val="0"/>
        <w:adjustRightInd w:val="0"/>
        <w:spacing w:after="0" w:line="240" w:lineRule="auto"/>
        <w:jc w:val="center"/>
        <w:rPr>
          <w:rFonts w:cstheme="minorHAnsi"/>
          <w:sz w:val="20"/>
          <w:szCs w:val="20"/>
        </w:rPr>
      </w:pPr>
      <w:r w:rsidRPr="002329A0">
        <w:rPr>
          <w:rFonts w:cstheme="minorHAnsi"/>
          <w:sz w:val="20"/>
          <w:szCs w:val="20"/>
        </w:rPr>
        <w:t xml:space="preserve"> Polskiej Akademii Nauk</w:t>
      </w:r>
    </w:p>
    <w:p w:rsidR="00092BB7" w:rsidRDefault="00092BB7" w:rsidP="002329A0">
      <w:pPr>
        <w:autoSpaceDE w:val="0"/>
        <w:autoSpaceDN w:val="0"/>
        <w:adjustRightInd w:val="0"/>
        <w:spacing w:after="0" w:line="240" w:lineRule="auto"/>
        <w:jc w:val="center"/>
        <w:rPr>
          <w:rFonts w:cstheme="minorHAnsi"/>
          <w:sz w:val="20"/>
          <w:szCs w:val="20"/>
        </w:rPr>
      </w:pPr>
    </w:p>
    <w:p w:rsidR="00092BB7" w:rsidRPr="002329A0" w:rsidRDefault="00092BB7" w:rsidP="002329A0">
      <w:pPr>
        <w:autoSpaceDE w:val="0"/>
        <w:autoSpaceDN w:val="0"/>
        <w:adjustRightInd w:val="0"/>
        <w:spacing w:after="0" w:line="240" w:lineRule="auto"/>
        <w:rPr>
          <w:rFonts w:cstheme="minorHAnsi"/>
          <w:sz w:val="20"/>
          <w:szCs w:val="20"/>
        </w:rPr>
      </w:pPr>
      <w:r w:rsidRPr="002329A0">
        <w:rPr>
          <w:rFonts w:cstheme="minorHAnsi"/>
          <w:b/>
          <w:bCs/>
          <w:sz w:val="20"/>
          <w:szCs w:val="20"/>
        </w:rPr>
        <w:t>Zamawiający:</w:t>
      </w:r>
      <w:r w:rsidRPr="002329A0">
        <w:rPr>
          <w:rFonts w:cstheme="minorHAnsi"/>
          <w:sz w:val="20"/>
          <w:szCs w:val="20"/>
        </w:rPr>
        <w:t xml:space="preserve"> Instytut Biologii Doświadczalnej im. M. Nenckiego PAN,</w:t>
      </w:r>
    </w:p>
    <w:p w:rsidR="00092BB7" w:rsidRPr="002329A0" w:rsidRDefault="00092BB7" w:rsidP="002329A0">
      <w:pPr>
        <w:autoSpaceDE w:val="0"/>
        <w:autoSpaceDN w:val="0"/>
        <w:adjustRightInd w:val="0"/>
        <w:spacing w:after="0" w:line="240" w:lineRule="auto"/>
        <w:rPr>
          <w:rFonts w:cstheme="minorHAnsi"/>
          <w:sz w:val="20"/>
          <w:szCs w:val="20"/>
        </w:rPr>
      </w:pPr>
      <w:r w:rsidRPr="002329A0">
        <w:rPr>
          <w:rFonts w:cstheme="minorHAnsi"/>
          <w:sz w:val="20"/>
          <w:szCs w:val="20"/>
        </w:rPr>
        <w:t>z siedzibą przy ul. Pasteura 3, Warszawa (02-093), NIP:525-000-92-69, REGON 000325825</w:t>
      </w:r>
    </w:p>
    <w:p w:rsidR="00092BB7" w:rsidRPr="006230BF" w:rsidRDefault="00092BB7" w:rsidP="002329A0">
      <w:pPr>
        <w:autoSpaceDE w:val="0"/>
        <w:autoSpaceDN w:val="0"/>
        <w:adjustRightInd w:val="0"/>
        <w:spacing w:after="0" w:line="240" w:lineRule="auto"/>
        <w:rPr>
          <w:rFonts w:cstheme="minorHAnsi"/>
          <w:sz w:val="20"/>
          <w:szCs w:val="20"/>
        </w:rPr>
      </w:pPr>
      <w:r w:rsidRPr="002329A0">
        <w:rPr>
          <w:rFonts w:cstheme="minorHAnsi"/>
          <w:sz w:val="20"/>
          <w:szCs w:val="20"/>
        </w:rPr>
        <w:t xml:space="preserve">Osoba do kontaktów w sprawie zamówienia: </w:t>
      </w:r>
      <w:r w:rsidR="00C7561A">
        <w:rPr>
          <w:sz w:val="20"/>
          <w:szCs w:val="20"/>
        </w:rPr>
        <w:t>Zbigniew Zieliński</w:t>
      </w:r>
    </w:p>
    <w:p w:rsidR="00092BB7" w:rsidRPr="006230BF" w:rsidRDefault="00092BB7" w:rsidP="002329A0">
      <w:pPr>
        <w:autoSpaceDE w:val="0"/>
        <w:autoSpaceDN w:val="0"/>
        <w:adjustRightInd w:val="0"/>
        <w:spacing w:after="0" w:line="240" w:lineRule="auto"/>
        <w:rPr>
          <w:rFonts w:cstheme="minorHAnsi"/>
          <w:sz w:val="20"/>
          <w:szCs w:val="20"/>
          <w:lang w:val="en-US"/>
        </w:rPr>
      </w:pPr>
      <w:r w:rsidRPr="006230BF">
        <w:rPr>
          <w:rFonts w:cstheme="minorHAnsi"/>
          <w:sz w:val="20"/>
          <w:szCs w:val="20"/>
          <w:lang w:val="en-US"/>
        </w:rPr>
        <w:t xml:space="preserve">e-mail: </w:t>
      </w:r>
      <w:hyperlink r:id="rId6" w:history="1">
        <w:r w:rsidR="00C7561A" w:rsidRPr="00F66975">
          <w:rPr>
            <w:rStyle w:val="Hipercze"/>
            <w:sz w:val="20"/>
            <w:szCs w:val="20"/>
            <w:lang w:val="en-US"/>
          </w:rPr>
          <w:t>z.zielinski@nencki.gov.pl</w:t>
        </w:r>
      </w:hyperlink>
      <w:r w:rsidR="00C7561A">
        <w:rPr>
          <w:sz w:val="20"/>
          <w:szCs w:val="20"/>
          <w:lang w:val="en-US"/>
        </w:rPr>
        <w:t xml:space="preserve"> </w:t>
      </w:r>
    </w:p>
    <w:p w:rsidR="00092BB7" w:rsidRDefault="00092BB7" w:rsidP="002329A0">
      <w:pPr>
        <w:autoSpaceDE w:val="0"/>
        <w:autoSpaceDN w:val="0"/>
        <w:adjustRightInd w:val="0"/>
        <w:spacing w:after="0" w:line="240" w:lineRule="auto"/>
        <w:rPr>
          <w:b/>
          <w:bCs/>
          <w:sz w:val="20"/>
          <w:szCs w:val="20"/>
        </w:rPr>
      </w:pPr>
      <w:r w:rsidRPr="002329A0">
        <w:rPr>
          <w:rFonts w:cstheme="minorHAnsi"/>
          <w:sz w:val="20"/>
          <w:szCs w:val="20"/>
        </w:rPr>
        <w:t xml:space="preserve">Termin zgłaszania ofert: </w:t>
      </w:r>
      <w:r w:rsidRPr="002329A0">
        <w:rPr>
          <w:rFonts w:cstheme="minorHAnsi"/>
          <w:b/>
          <w:bCs/>
          <w:sz w:val="20"/>
          <w:szCs w:val="20"/>
        </w:rPr>
        <w:t>nie później niż do dnia</w:t>
      </w:r>
      <w:r w:rsidR="00863F54">
        <w:rPr>
          <w:rFonts w:cstheme="minorHAnsi"/>
          <w:b/>
          <w:bCs/>
          <w:sz w:val="20"/>
          <w:szCs w:val="20"/>
        </w:rPr>
        <w:t xml:space="preserve"> </w:t>
      </w:r>
      <w:r w:rsidR="00C7561A">
        <w:rPr>
          <w:b/>
          <w:bCs/>
          <w:sz w:val="20"/>
          <w:szCs w:val="20"/>
        </w:rPr>
        <w:t>12</w:t>
      </w:r>
      <w:r w:rsidR="00863F54">
        <w:rPr>
          <w:b/>
          <w:bCs/>
          <w:sz w:val="20"/>
          <w:szCs w:val="20"/>
        </w:rPr>
        <w:t>.11</w:t>
      </w:r>
      <w:r w:rsidR="006230BF" w:rsidRPr="006230BF">
        <w:rPr>
          <w:b/>
          <w:bCs/>
          <w:sz w:val="20"/>
          <w:szCs w:val="20"/>
        </w:rPr>
        <w:t>.2019</w:t>
      </w:r>
      <w:r w:rsidRPr="006230BF">
        <w:rPr>
          <w:rFonts w:cstheme="minorHAnsi"/>
          <w:b/>
          <w:bCs/>
          <w:sz w:val="20"/>
          <w:szCs w:val="20"/>
        </w:rPr>
        <w:t xml:space="preserve">,  do godz. </w:t>
      </w:r>
      <w:r w:rsidR="006230BF" w:rsidRPr="006230BF">
        <w:rPr>
          <w:b/>
          <w:bCs/>
          <w:sz w:val="20"/>
          <w:szCs w:val="20"/>
        </w:rPr>
        <w:t>12:00</w:t>
      </w:r>
    </w:p>
    <w:p w:rsidR="00863F54" w:rsidRPr="002329A0" w:rsidRDefault="00863F54" w:rsidP="002329A0">
      <w:pPr>
        <w:autoSpaceDE w:val="0"/>
        <w:autoSpaceDN w:val="0"/>
        <w:adjustRightInd w:val="0"/>
        <w:spacing w:after="0" w:line="240" w:lineRule="auto"/>
        <w:rPr>
          <w:rFonts w:cstheme="minorHAnsi"/>
          <w:sz w:val="20"/>
          <w:szCs w:val="20"/>
        </w:rPr>
      </w:pPr>
    </w:p>
    <w:p w:rsidR="00092BB7" w:rsidRPr="002329A0" w:rsidRDefault="00092BB7" w:rsidP="002329A0">
      <w:pPr>
        <w:autoSpaceDE w:val="0"/>
        <w:autoSpaceDN w:val="0"/>
        <w:adjustRightInd w:val="0"/>
        <w:spacing w:after="0" w:line="240" w:lineRule="auto"/>
        <w:jc w:val="both"/>
        <w:rPr>
          <w:rFonts w:cstheme="minorHAnsi"/>
          <w:b/>
          <w:bCs/>
          <w:sz w:val="20"/>
          <w:szCs w:val="20"/>
        </w:rPr>
      </w:pPr>
      <w:r w:rsidRPr="002329A0">
        <w:rPr>
          <w:rFonts w:cstheme="minorHAnsi"/>
          <w:b/>
          <w:bCs/>
          <w:sz w:val="20"/>
          <w:szCs w:val="20"/>
        </w:rPr>
        <w:t>I. Opis przedmiotu zamówienia:</w:t>
      </w:r>
    </w:p>
    <w:p w:rsidR="006230BF" w:rsidRPr="00915365" w:rsidRDefault="00092BB7" w:rsidP="006230BF">
      <w:pPr>
        <w:autoSpaceDE w:val="0"/>
        <w:autoSpaceDN w:val="0"/>
        <w:adjustRightInd w:val="0"/>
        <w:rPr>
          <w:rFonts w:asciiTheme="majorHAnsi" w:eastAsia="Calibri" w:hAnsiTheme="majorHAnsi" w:cstheme="majorHAnsi"/>
          <w:b/>
          <w:color w:val="000000"/>
          <w:sz w:val="20"/>
          <w:szCs w:val="20"/>
        </w:rPr>
      </w:pPr>
      <w:r w:rsidRPr="00915365">
        <w:rPr>
          <w:rFonts w:asciiTheme="majorHAnsi" w:hAnsiTheme="majorHAnsi" w:cstheme="majorHAnsi"/>
          <w:sz w:val="20"/>
          <w:szCs w:val="20"/>
        </w:rPr>
        <w:t xml:space="preserve">Przedmiotem zamówienia jest: </w:t>
      </w:r>
      <w:r w:rsidR="006230BF" w:rsidRPr="00915365">
        <w:rPr>
          <w:rFonts w:asciiTheme="majorHAnsi" w:eastAsia="Calibri" w:hAnsiTheme="majorHAnsi" w:cstheme="majorHAnsi"/>
          <w:b/>
          <w:color w:val="000000"/>
          <w:sz w:val="20"/>
          <w:szCs w:val="20"/>
        </w:rPr>
        <w:t xml:space="preserve">Spektrofotometr </w:t>
      </w:r>
      <w:r w:rsidR="00C7561A" w:rsidRPr="00915365">
        <w:rPr>
          <w:rFonts w:asciiTheme="majorHAnsi" w:eastAsia="Calibri" w:hAnsiTheme="majorHAnsi" w:cstheme="majorHAnsi"/>
          <w:b/>
          <w:color w:val="000000"/>
          <w:sz w:val="20"/>
          <w:szCs w:val="20"/>
        </w:rPr>
        <w:t>UV/VIS</w:t>
      </w:r>
    </w:p>
    <w:tbl>
      <w:tblPr>
        <w:tblStyle w:val="Tabela-Siatka"/>
        <w:tblW w:w="982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22"/>
      </w:tblGrid>
      <w:tr w:rsidR="00C7561A" w:rsidRPr="00915365" w:rsidTr="00915365">
        <w:tc>
          <w:tcPr>
            <w:tcW w:w="9822" w:type="dxa"/>
          </w:tcPr>
          <w:p w:rsidR="00C7561A" w:rsidRPr="00915365" w:rsidRDefault="00C7561A" w:rsidP="00C7561A">
            <w:pPr>
              <w:pStyle w:val="Akapitzlist"/>
              <w:numPr>
                <w:ilvl w:val="0"/>
                <w:numId w:val="11"/>
              </w:numPr>
              <w:tabs>
                <w:tab w:val="left" w:pos="284"/>
              </w:tabs>
              <w:autoSpaceDE w:val="0"/>
              <w:autoSpaceDN w:val="0"/>
              <w:adjustRightInd w:val="0"/>
              <w:spacing w:after="0" w:line="240" w:lineRule="auto"/>
              <w:rPr>
                <w:rFonts w:asciiTheme="majorHAnsi" w:hAnsiTheme="majorHAnsi" w:cstheme="majorHAnsi"/>
                <w:iCs/>
                <w:color w:val="000000"/>
                <w:sz w:val="20"/>
                <w:szCs w:val="20"/>
              </w:rPr>
            </w:pPr>
            <w:r w:rsidRPr="00915365">
              <w:rPr>
                <w:rFonts w:asciiTheme="majorHAnsi" w:hAnsiTheme="majorHAnsi" w:cstheme="majorHAnsi"/>
                <w:iCs/>
                <w:color w:val="000000"/>
                <w:sz w:val="20"/>
                <w:szCs w:val="20"/>
              </w:rPr>
              <w:t>Wymiary urządzenia nie więcej niż  17cmx12 cm</w:t>
            </w:r>
          </w:p>
        </w:tc>
      </w:tr>
      <w:tr w:rsidR="00C7561A" w:rsidRPr="00915365" w:rsidTr="00915365">
        <w:tc>
          <w:tcPr>
            <w:tcW w:w="9822" w:type="dxa"/>
          </w:tcPr>
          <w:p w:rsidR="00C7561A" w:rsidRPr="00915365" w:rsidRDefault="00C7561A" w:rsidP="00C7561A">
            <w:pPr>
              <w:pStyle w:val="Akapitzlist"/>
              <w:numPr>
                <w:ilvl w:val="0"/>
                <w:numId w:val="11"/>
              </w:numPr>
              <w:autoSpaceDE w:val="0"/>
              <w:autoSpaceDN w:val="0"/>
              <w:adjustRightInd w:val="0"/>
              <w:spacing w:after="0" w:line="240" w:lineRule="auto"/>
              <w:rPr>
                <w:rFonts w:asciiTheme="majorHAnsi" w:hAnsiTheme="majorHAnsi" w:cstheme="majorHAnsi"/>
                <w:iCs/>
                <w:color w:val="000000"/>
                <w:sz w:val="20"/>
                <w:szCs w:val="20"/>
              </w:rPr>
            </w:pPr>
            <w:r w:rsidRPr="00915365">
              <w:rPr>
                <w:rFonts w:asciiTheme="majorHAnsi" w:hAnsiTheme="majorHAnsi" w:cstheme="majorHAnsi"/>
                <w:iCs/>
                <w:color w:val="000000"/>
                <w:sz w:val="20"/>
                <w:szCs w:val="20"/>
              </w:rPr>
              <w:t>Ciężar nie więcej niż 1 kg</w:t>
            </w:r>
          </w:p>
        </w:tc>
      </w:tr>
      <w:tr w:rsidR="00C7561A" w:rsidRPr="00915365" w:rsidTr="00915365">
        <w:tc>
          <w:tcPr>
            <w:tcW w:w="9822" w:type="dxa"/>
          </w:tcPr>
          <w:p w:rsidR="00C7561A" w:rsidRPr="00915365" w:rsidRDefault="00C7561A" w:rsidP="00C7561A">
            <w:pPr>
              <w:pStyle w:val="Akapitzlist"/>
              <w:numPr>
                <w:ilvl w:val="0"/>
                <w:numId w:val="11"/>
              </w:numPr>
              <w:autoSpaceDE w:val="0"/>
              <w:autoSpaceDN w:val="0"/>
              <w:adjustRightInd w:val="0"/>
              <w:spacing w:after="0" w:line="240" w:lineRule="auto"/>
              <w:rPr>
                <w:rFonts w:asciiTheme="majorHAnsi" w:hAnsiTheme="majorHAnsi" w:cstheme="majorHAnsi"/>
                <w:iCs/>
                <w:color w:val="000000"/>
                <w:sz w:val="20"/>
                <w:szCs w:val="20"/>
              </w:rPr>
            </w:pPr>
            <w:r w:rsidRPr="00915365">
              <w:rPr>
                <w:rFonts w:asciiTheme="majorHAnsi" w:hAnsiTheme="majorHAnsi" w:cstheme="majorHAnsi"/>
                <w:iCs/>
                <w:color w:val="000000"/>
                <w:sz w:val="20"/>
                <w:szCs w:val="20"/>
              </w:rPr>
              <w:t>Objętość mierzonej próbki: od  co namniej1ul</w:t>
            </w:r>
          </w:p>
        </w:tc>
      </w:tr>
      <w:tr w:rsidR="00C7561A" w:rsidRPr="00915365" w:rsidTr="00915365">
        <w:tc>
          <w:tcPr>
            <w:tcW w:w="9822" w:type="dxa"/>
          </w:tcPr>
          <w:p w:rsidR="00C7561A" w:rsidRPr="00915365" w:rsidRDefault="00C7561A" w:rsidP="00C7561A">
            <w:pPr>
              <w:pStyle w:val="Akapitzlist"/>
              <w:numPr>
                <w:ilvl w:val="0"/>
                <w:numId w:val="11"/>
              </w:numPr>
              <w:autoSpaceDE w:val="0"/>
              <w:autoSpaceDN w:val="0"/>
              <w:adjustRightInd w:val="0"/>
              <w:spacing w:after="0" w:line="240" w:lineRule="auto"/>
              <w:rPr>
                <w:rFonts w:asciiTheme="majorHAnsi" w:hAnsiTheme="majorHAnsi" w:cstheme="majorHAnsi"/>
                <w:iCs/>
                <w:color w:val="000000"/>
                <w:sz w:val="20"/>
                <w:szCs w:val="20"/>
              </w:rPr>
            </w:pPr>
            <w:r w:rsidRPr="00915365">
              <w:rPr>
                <w:rFonts w:asciiTheme="majorHAnsi" w:hAnsiTheme="majorHAnsi" w:cstheme="majorHAnsi"/>
                <w:iCs/>
                <w:color w:val="000000"/>
                <w:sz w:val="20"/>
                <w:szCs w:val="20"/>
              </w:rPr>
              <w:t>Powierzchnię kontakty muszą stanowić światłowody kwarcowe</w:t>
            </w:r>
          </w:p>
        </w:tc>
      </w:tr>
      <w:tr w:rsidR="00C7561A" w:rsidRPr="00915365" w:rsidTr="00915365">
        <w:tc>
          <w:tcPr>
            <w:tcW w:w="9822" w:type="dxa"/>
          </w:tcPr>
          <w:p w:rsidR="00C7561A" w:rsidRPr="00915365" w:rsidRDefault="00C7561A" w:rsidP="00C7561A">
            <w:pPr>
              <w:pStyle w:val="Akapitzlist"/>
              <w:numPr>
                <w:ilvl w:val="0"/>
                <w:numId w:val="11"/>
              </w:numPr>
              <w:autoSpaceDE w:val="0"/>
              <w:autoSpaceDN w:val="0"/>
              <w:adjustRightInd w:val="0"/>
              <w:spacing w:after="0" w:line="240" w:lineRule="auto"/>
              <w:rPr>
                <w:rFonts w:asciiTheme="majorHAnsi" w:hAnsiTheme="majorHAnsi" w:cstheme="majorHAnsi"/>
                <w:iCs/>
                <w:color w:val="000000"/>
                <w:sz w:val="20"/>
                <w:szCs w:val="20"/>
              </w:rPr>
            </w:pPr>
            <w:r w:rsidRPr="00915365">
              <w:rPr>
                <w:rFonts w:asciiTheme="majorHAnsi" w:hAnsiTheme="majorHAnsi" w:cstheme="majorHAnsi"/>
                <w:kern w:val="16"/>
                <w:sz w:val="20"/>
                <w:szCs w:val="20"/>
              </w:rPr>
              <w:t xml:space="preserve">Funkcja pomiaru stężenia kwasów nukleinowych </w:t>
            </w:r>
            <w:proofErr w:type="spellStart"/>
            <w:r w:rsidRPr="00915365">
              <w:rPr>
                <w:rFonts w:asciiTheme="majorHAnsi" w:hAnsiTheme="majorHAnsi" w:cstheme="majorHAnsi"/>
                <w:kern w:val="16"/>
                <w:sz w:val="20"/>
                <w:szCs w:val="20"/>
              </w:rPr>
              <w:t>dsDNA</w:t>
            </w:r>
            <w:proofErr w:type="spellEnd"/>
            <w:r w:rsidRPr="00915365">
              <w:rPr>
                <w:rFonts w:asciiTheme="majorHAnsi" w:hAnsiTheme="majorHAnsi" w:cstheme="majorHAnsi"/>
                <w:kern w:val="16"/>
                <w:sz w:val="20"/>
                <w:szCs w:val="20"/>
              </w:rPr>
              <w:t xml:space="preserve">, </w:t>
            </w:r>
            <w:proofErr w:type="spellStart"/>
            <w:r w:rsidRPr="00915365">
              <w:rPr>
                <w:rFonts w:asciiTheme="majorHAnsi" w:hAnsiTheme="majorHAnsi" w:cstheme="majorHAnsi"/>
                <w:kern w:val="16"/>
                <w:sz w:val="20"/>
                <w:szCs w:val="20"/>
              </w:rPr>
              <w:t>ssDNA</w:t>
            </w:r>
            <w:proofErr w:type="spellEnd"/>
            <w:r w:rsidRPr="00915365">
              <w:rPr>
                <w:rFonts w:asciiTheme="majorHAnsi" w:hAnsiTheme="majorHAnsi" w:cstheme="majorHAnsi"/>
                <w:kern w:val="16"/>
                <w:sz w:val="20"/>
                <w:szCs w:val="20"/>
              </w:rPr>
              <w:t>, RNA</w:t>
            </w:r>
          </w:p>
        </w:tc>
      </w:tr>
      <w:tr w:rsidR="00C7561A" w:rsidRPr="00915365" w:rsidTr="00915365">
        <w:tc>
          <w:tcPr>
            <w:tcW w:w="9822" w:type="dxa"/>
          </w:tcPr>
          <w:p w:rsidR="00C7561A" w:rsidRPr="00915365" w:rsidRDefault="00C7561A" w:rsidP="00BD58F9">
            <w:pPr>
              <w:pStyle w:val="Akapitzlist"/>
              <w:numPr>
                <w:ilvl w:val="0"/>
                <w:numId w:val="11"/>
              </w:numPr>
              <w:autoSpaceDE w:val="0"/>
              <w:autoSpaceDN w:val="0"/>
              <w:adjustRightInd w:val="0"/>
              <w:spacing w:after="0" w:line="240" w:lineRule="auto"/>
              <w:rPr>
                <w:rFonts w:asciiTheme="majorHAnsi" w:hAnsiTheme="majorHAnsi" w:cstheme="majorHAnsi"/>
                <w:iCs/>
                <w:color w:val="000000"/>
                <w:sz w:val="20"/>
                <w:szCs w:val="20"/>
              </w:rPr>
            </w:pPr>
            <w:r w:rsidRPr="00915365">
              <w:rPr>
                <w:rFonts w:asciiTheme="majorHAnsi" w:hAnsiTheme="majorHAnsi" w:cstheme="majorHAnsi"/>
                <w:iCs/>
                <w:color w:val="000000"/>
                <w:sz w:val="20"/>
                <w:szCs w:val="20"/>
              </w:rPr>
              <w:t>Precyzja pomiaru absorbancji</w:t>
            </w:r>
            <w:r w:rsidR="00BD58F9">
              <w:rPr>
                <w:rFonts w:asciiTheme="majorHAnsi" w:hAnsiTheme="majorHAnsi" w:cstheme="majorHAnsi"/>
                <w:iCs/>
                <w:color w:val="000000"/>
                <w:sz w:val="20"/>
                <w:szCs w:val="20"/>
              </w:rPr>
              <w:t xml:space="preserve">: nie gorsza niż </w:t>
            </w:r>
            <w:r w:rsidRPr="00915365">
              <w:rPr>
                <w:rFonts w:asciiTheme="majorHAnsi" w:hAnsiTheme="majorHAnsi" w:cstheme="majorHAnsi"/>
                <w:iCs/>
                <w:color w:val="000000"/>
                <w:sz w:val="20"/>
                <w:szCs w:val="20"/>
              </w:rPr>
              <w:t>0,002</w:t>
            </w:r>
            <w:r w:rsidR="00BD58F9">
              <w:rPr>
                <w:rFonts w:asciiTheme="majorHAnsi" w:hAnsiTheme="majorHAnsi" w:cstheme="majorHAnsi"/>
                <w:iCs/>
                <w:color w:val="000000"/>
                <w:sz w:val="20"/>
                <w:szCs w:val="20"/>
              </w:rPr>
              <w:t>A</w:t>
            </w:r>
          </w:p>
        </w:tc>
      </w:tr>
      <w:tr w:rsidR="00C7561A" w:rsidRPr="00915365" w:rsidTr="00915365">
        <w:tc>
          <w:tcPr>
            <w:tcW w:w="9822" w:type="dxa"/>
          </w:tcPr>
          <w:p w:rsidR="00C7561A" w:rsidRPr="00915365" w:rsidRDefault="00C7561A" w:rsidP="00C7561A">
            <w:pPr>
              <w:pStyle w:val="Akapitzlist"/>
              <w:numPr>
                <w:ilvl w:val="0"/>
                <w:numId w:val="11"/>
              </w:numPr>
              <w:autoSpaceDE w:val="0"/>
              <w:autoSpaceDN w:val="0"/>
              <w:adjustRightInd w:val="0"/>
              <w:spacing w:after="0" w:line="240" w:lineRule="auto"/>
              <w:rPr>
                <w:rFonts w:asciiTheme="majorHAnsi" w:hAnsiTheme="majorHAnsi" w:cstheme="majorHAnsi"/>
                <w:iCs/>
                <w:color w:val="000000"/>
                <w:sz w:val="20"/>
                <w:szCs w:val="20"/>
              </w:rPr>
            </w:pPr>
            <w:r w:rsidRPr="00915365">
              <w:rPr>
                <w:rFonts w:asciiTheme="majorHAnsi" w:hAnsiTheme="majorHAnsi" w:cstheme="majorHAnsi"/>
                <w:iCs/>
                <w:color w:val="000000"/>
                <w:sz w:val="20"/>
                <w:szCs w:val="20"/>
              </w:rPr>
              <w:t>Zakres pomiaru stężenia BSA: minimum od  0,12 mg/ml do co najmniej 45 mg/ml bez potrzeby powtarzania    pomiaru próbki o nieznanym stężeniu, bez konieczności zagęszczania lub rozcieńczania</w:t>
            </w:r>
          </w:p>
        </w:tc>
      </w:tr>
      <w:tr w:rsidR="00C7561A" w:rsidRPr="00915365" w:rsidTr="00915365">
        <w:tc>
          <w:tcPr>
            <w:tcW w:w="9822" w:type="dxa"/>
          </w:tcPr>
          <w:p w:rsidR="00C7561A" w:rsidRPr="00915365" w:rsidRDefault="00C7561A" w:rsidP="00C7561A">
            <w:pPr>
              <w:pStyle w:val="Akapitzlist"/>
              <w:numPr>
                <w:ilvl w:val="0"/>
                <w:numId w:val="11"/>
              </w:numPr>
              <w:autoSpaceDE w:val="0"/>
              <w:autoSpaceDN w:val="0"/>
              <w:adjustRightInd w:val="0"/>
              <w:spacing w:after="0" w:line="240" w:lineRule="auto"/>
              <w:rPr>
                <w:rFonts w:asciiTheme="majorHAnsi" w:hAnsiTheme="majorHAnsi" w:cstheme="majorHAnsi"/>
                <w:iCs/>
                <w:color w:val="000000"/>
                <w:sz w:val="20"/>
                <w:szCs w:val="20"/>
              </w:rPr>
            </w:pPr>
            <w:r w:rsidRPr="00915365">
              <w:rPr>
                <w:rFonts w:asciiTheme="majorHAnsi" w:hAnsiTheme="majorHAnsi" w:cstheme="majorHAnsi"/>
                <w:iCs/>
                <w:color w:val="000000"/>
                <w:sz w:val="20"/>
                <w:szCs w:val="20"/>
              </w:rPr>
              <w:t>Funkcja pomiaru stężenia białek metodą A280</w:t>
            </w:r>
          </w:p>
        </w:tc>
      </w:tr>
      <w:tr w:rsidR="00C7561A" w:rsidRPr="00915365" w:rsidTr="00051FE6">
        <w:trPr>
          <w:trHeight w:val="169"/>
        </w:trPr>
        <w:tc>
          <w:tcPr>
            <w:tcW w:w="9822" w:type="dxa"/>
          </w:tcPr>
          <w:p w:rsidR="00C7561A" w:rsidRPr="00915365" w:rsidRDefault="00C7561A" w:rsidP="00C7561A">
            <w:pPr>
              <w:pStyle w:val="Akapitzlist"/>
              <w:numPr>
                <w:ilvl w:val="0"/>
                <w:numId w:val="11"/>
              </w:numPr>
              <w:autoSpaceDE w:val="0"/>
              <w:autoSpaceDN w:val="0"/>
              <w:adjustRightInd w:val="0"/>
              <w:spacing w:after="0" w:line="240" w:lineRule="auto"/>
              <w:rPr>
                <w:rFonts w:asciiTheme="majorHAnsi" w:hAnsiTheme="majorHAnsi" w:cstheme="majorHAnsi"/>
                <w:iCs/>
                <w:color w:val="000000"/>
                <w:sz w:val="20"/>
                <w:szCs w:val="20"/>
              </w:rPr>
            </w:pPr>
            <w:r w:rsidRPr="00915365">
              <w:rPr>
                <w:rFonts w:asciiTheme="majorHAnsi" w:hAnsiTheme="majorHAnsi" w:cstheme="majorHAnsi"/>
                <w:iCs/>
                <w:color w:val="000000"/>
                <w:sz w:val="20"/>
                <w:szCs w:val="20"/>
              </w:rPr>
              <w:t>Oprogramowanie wewnętrzne sterujące, wbudowany monitor</w:t>
            </w:r>
          </w:p>
        </w:tc>
      </w:tr>
      <w:tr w:rsidR="00C7561A" w:rsidRPr="00915365" w:rsidTr="00915365">
        <w:tc>
          <w:tcPr>
            <w:tcW w:w="9822" w:type="dxa"/>
          </w:tcPr>
          <w:p w:rsidR="00C7561A" w:rsidRPr="00915365" w:rsidRDefault="00C7561A" w:rsidP="00C7561A">
            <w:pPr>
              <w:pStyle w:val="Akapitzlist"/>
              <w:numPr>
                <w:ilvl w:val="0"/>
                <w:numId w:val="11"/>
              </w:numPr>
              <w:autoSpaceDE w:val="0"/>
              <w:autoSpaceDN w:val="0"/>
              <w:adjustRightInd w:val="0"/>
              <w:spacing w:after="0" w:line="240" w:lineRule="auto"/>
              <w:rPr>
                <w:rFonts w:asciiTheme="majorHAnsi" w:hAnsiTheme="majorHAnsi" w:cstheme="majorHAnsi"/>
                <w:iCs/>
                <w:color w:val="000000"/>
                <w:sz w:val="20"/>
                <w:szCs w:val="20"/>
              </w:rPr>
            </w:pPr>
            <w:r w:rsidRPr="00915365">
              <w:rPr>
                <w:rFonts w:asciiTheme="majorHAnsi" w:hAnsiTheme="majorHAnsi" w:cstheme="majorHAnsi"/>
                <w:iCs/>
                <w:color w:val="000000"/>
                <w:sz w:val="20"/>
                <w:szCs w:val="20"/>
              </w:rPr>
              <w:t>Pomiar w trzech ustalonych długościach fal 260nm, 280nm i 365nm w świetle UV</w:t>
            </w:r>
          </w:p>
        </w:tc>
      </w:tr>
      <w:tr w:rsidR="00C7561A" w:rsidRPr="00915365" w:rsidTr="00915365">
        <w:tc>
          <w:tcPr>
            <w:tcW w:w="9822" w:type="dxa"/>
          </w:tcPr>
          <w:p w:rsidR="00C7561A" w:rsidRPr="00915365" w:rsidRDefault="00C7561A" w:rsidP="00C7561A">
            <w:pPr>
              <w:pStyle w:val="Akapitzlist"/>
              <w:numPr>
                <w:ilvl w:val="0"/>
                <w:numId w:val="11"/>
              </w:numPr>
              <w:autoSpaceDE w:val="0"/>
              <w:autoSpaceDN w:val="0"/>
              <w:adjustRightInd w:val="0"/>
              <w:spacing w:after="0" w:line="240" w:lineRule="auto"/>
              <w:rPr>
                <w:rFonts w:asciiTheme="majorHAnsi" w:hAnsiTheme="majorHAnsi" w:cstheme="majorHAnsi"/>
                <w:iCs/>
                <w:color w:val="000000"/>
                <w:sz w:val="20"/>
                <w:szCs w:val="20"/>
              </w:rPr>
            </w:pPr>
            <w:r w:rsidRPr="00915365">
              <w:rPr>
                <w:rFonts w:asciiTheme="majorHAnsi" w:hAnsiTheme="majorHAnsi" w:cstheme="majorHAnsi"/>
                <w:iCs/>
                <w:color w:val="000000"/>
                <w:sz w:val="20"/>
                <w:szCs w:val="20"/>
              </w:rPr>
              <w:t xml:space="preserve">Pomiar bezpośrednio w próbce bez użycia kuwet, </w:t>
            </w:r>
            <w:proofErr w:type="spellStart"/>
            <w:r w:rsidRPr="00915365">
              <w:rPr>
                <w:rFonts w:asciiTheme="majorHAnsi" w:hAnsiTheme="majorHAnsi" w:cstheme="majorHAnsi"/>
                <w:iCs/>
                <w:color w:val="000000"/>
                <w:sz w:val="20"/>
                <w:szCs w:val="20"/>
              </w:rPr>
              <w:t>mikrokuwet</w:t>
            </w:r>
            <w:proofErr w:type="spellEnd"/>
            <w:r w:rsidRPr="00915365">
              <w:rPr>
                <w:rFonts w:asciiTheme="majorHAnsi" w:hAnsiTheme="majorHAnsi" w:cstheme="majorHAnsi"/>
                <w:iCs/>
                <w:color w:val="000000"/>
                <w:sz w:val="20"/>
                <w:szCs w:val="20"/>
              </w:rPr>
              <w:t>, końcówek pomiarowych, nakrywek – „</w:t>
            </w:r>
            <w:proofErr w:type="spellStart"/>
            <w:r w:rsidRPr="00915365">
              <w:rPr>
                <w:rFonts w:asciiTheme="majorHAnsi" w:hAnsiTheme="majorHAnsi" w:cstheme="majorHAnsi"/>
                <w:iCs/>
                <w:color w:val="000000"/>
                <w:sz w:val="20"/>
                <w:szCs w:val="20"/>
              </w:rPr>
              <w:t>cups</w:t>
            </w:r>
            <w:proofErr w:type="spellEnd"/>
          </w:p>
        </w:tc>
      </w:tr>
      <w:tr w:rsidR="00C7561A" w:rsidRPr="00915365" w:rsidTr="00915365">
        <w:tc>
          <w:tcPr>
            <w:tcW w:w="9822" w:type="dxa"/>
          </w:tcPr>
          <w:p w:rsidR="00C7561A" w:rsidRPr="00915365" w:rsidRDefault="00C7561A" w:rsidP="00C7561A">
            <w:pPr>
              <w:pStyle w:val="Akapitzlist"/>
              <w:numPr>
                <w:ilvl w:val="0"/>
                <w:numId w:val="11"/>
              </w:numPr>
              <w:autoSpaceDE w:val="0"/>
              <w:autoSpaceDN w:val="0"/>
              <w:adjustRightInd w:val="0"/>
              <w:spacing w:after="0" w:line="240" w:lineRule="auto"/>
              <w:rPr>
                <w:rFonts w:asciiTheme="majorHAnsi" w:hAnsiTheme="majorHAnsi" w:cstheme="majorHAnsi"/>
                <w:iCs/>
                <w:color w:val="000000"/>
                <w:sz w:val="20"/>
                <w:szCs w:val="20"/>
              </w:rPr>
            </w:pPr>
            <w:r w:rsidRPr="00915365">
              <w:rPr>
                <w:rFonts w:asciiTheme="majorHAnsi" w:hAnsiTheme="majorHAnsi" w:cstheme="majorHAnsi"/>
                <w:iCs/>
                <w:color w:val="000000"/>
                <w:sz w:val="20"/>
                <w:szCs w:val="20"/>
              </w:rPr>
              <w:t>Oprogramowanie sterujące aparatem zintegrowane z urządzeniem, umożliwia:</w:t>
            </w:r>
          </w:p>
        </w:tc>
      </w:tr>
      <w:tr w:rsidR="00C7561A" w:rsidRPr="00915365" w:rsidTr="00915365">
        <w:tc>
          <w:tcPr>
            <w:tcW w:w="9822" w:type="dxa"/>
          </w:tcPr>
          <w:p w:rsidR="00C7561A" w:rsidRPr="00915365" w:rsidRDefault="00C7561A" w:rsidP="00915365">
            <w:pPr>
              <w:pStyle w:val="Akapitzlist"/>
              <w:numPr>
                <w:ilvl w:val="0"/>
                <w:numId w:val="13"/>
              </w:numPr>
              <w:autoSpaceDE w:val="0"/>
              <w:autoSpaceDN w:val="0"/>
              <w:adjustRightInd w:val="0"/>
              <w:spacing w:after="0" w:line="240" w:lineRule="auto"/>
              <w:ind w:left="993" w:hanging="283"/>
              <w:rPr>
                <w:rFonts w:asciiTheme="majorHAnsi" w:hAnsiTheme="majorHAnsi" w:cstheme="majorHAnsi"/>
                <w:iCs/>
                <w:color w:val="000000"/>
                <w:sz w:val="20"/>
                <w:szCs w:val="20"/>
              </w:rPr>
            </w:pPr>
            <w:r w:rsidRPr="00915365">
              <w:rPr>
                <w:rFonts w:asciiTheme="majorHAnsi" w:hAnsiTheme="majorHAnsi" w:cstheme="majorHAnsi"/>
                <w:iCs/>
                <w:color w:val="000000"/>
                <w:sz w:val="20"/>
                <w:szCs w:val="20"/>
              </w:rPr>
              <w:t>Oznaczanie stężenia białka metodą A280 z użyciem standardowego współczynnika ekstynkcji 1Abs=1mg/ml</w:t>
            </w:r>
          </w:p>
          <w:p w:rsidR="00C7561A" w:rsidRPr="00915365" w:rsidRDefault="00C7561A" w:rsidP="00915365">
            <w:pPr>
              <w:pStyle w:val="Akapitzlist"/>
              <w:numPr>
                <w:ilvl w:val="0"/>
                <w:numId w:val="13"/>
              </w:numPr>
              <w:autoSpaceDE w:val="0"/>
              <w:autoSpaceDN w:val="0"/>
              <w:adjustRightInd w:val="0"/>
              <w:spacing w:after="0" w:line="240" w:lineRule="auto"/>
              <w:ind w:left="993" w:hanging="283"/>
              <w:rPr>
                <w:rFonts w:asciiTheme="majorHAnsi" w:hAnsiTheme="majorHAnsi" w:cstheme="majorHAnsi"/>
                <w:iCs/>
                <w:color w:val="000000"/>
                <w:sz w:val="20"/>
                <w:szCs w:val="20"/>
              </w:rPr>
            </w:pPr>
            <w:r w:rsidRPr="00915365">
              <w:rPr>
                <w:rFonts w:asciiTheme="majorHAnsi" w:hAnsiTheme="majorHAnsi" w:cstheme="majorHAnsi"/>
                <w:iCs/>
                <w:color w:val="000000"/>
                <w:sz w:val="20"/>
                <w:szCs w:val="20"/>
              </w:rPr>
              <w:t xml:space="preserve">Oznaczanie stężenia dla białek </w:t>
            </w:r>
            <w:proofErr w:type="spellStart"/>
            <w:r w:rsidRPr="00915365">
              <w:rPr>
                <w:rFonts w:asciiTheme="majorHAnsi" w:hAnsiTheme="majorHAnsi" w:cstheme="majorHAnsi"/>
                <w:iCs/>
                <w:color w:val="000000"/>
                <w:sz w:val="20"/>
                <w:szCs w:val="20"/>
              </w:rPr>
              <w:t>IgG</w:t>
            </w:r>
            <w:proofErr w:type="spellEnd"/>
            <w:r w:rsidRPr="00915365">
              <w:rPr>
                <w:rFonts w:asciiTheme="majorHAnsi" w:hAnsiTheme="majorHAnsi" w:cstheme="majorHAnsi"/>
                <w:iCs/>
                <w:color w:val="000000"/>
                <w:sz w:val="20"/>
                <w:szCs w:val="20"/>
              </w:rPr>
              <w:t xml:space="preserve"> i BSA</w:t>
            </w:r>
          </w:p>
          <w:p w:rsidR="00C7561A" w:rsidRPr="00915365" w:rsidRDefault="00C7561A" w:rsidP="00915365">
            <w:pPr>
              <w:pStyle w:val="Akapitzlist"/>
              <w:numPr>
                <w:ilvl w:val="0"/>
                <w:numId w:val="13"/>
              </w:numPr>
              <w:autoSpaceDE w:val="0"/>
              <w:autoSpaceDN w:val="0"/>
              <w:adjustRightInd w:val="0"/>
              <w:spacing w:after="0" w:line="240" w:lineRule="auto"/>
              <w:ind w:left="993" w:hanging="283"/>
              <w:rPr>
                <w:rFonts w:asciiTheme="majorHAnsi" w:hAnsiTheme="majorHAnsi" w:cstheme="majorHAnsi"/>
                <w:iCs/>
                <w:color w:val="000000"/>
                <w:sz w:val="20"/>
                <w:szCs w:val="20"/>
              </w:rPr>
            </w:pPr>
            <w:r w:rsidRPr="00915365">
              <w:rPr>
                <w:rFonts w:asciiTheme="majorHAnsi" w:hAnsiTheme="majorHAnsi" w:cstheme="majorHAnsi"/>
                <w:iCs/>
                <w:color w:val="000000"/>
                <w:sz w:val="20"/>
                <w:szCs w:val="20"/>
              </w:rPr>
              <w:t xml:space="preserve">Zastosowanie metod pomiarowych dla </w:t>
            </w:r>
            <w:proofErr w:type="spellStart"/>
            <w:r w:rsidRPr="00915365">
              <w:rPr>
                <w:rFonts w:asciiTheme="majorHAnsi" w:hAnsiTheme="majorHAnsi" w:cstheme="majorHAnsi"/>
                <w:iCs/>
                <w:color w:val="000000"/>
                <w:sz w:val="20"/>
                <w:szCs w:val="20"/>
              </w:rPr>
              <w:t>dsDNA</w:t>
            </w:r>
            <w:proofErr w:type="spellEnd"/>
            <w:r w:rsidRPr="00915365">
              <w:rPr>
                <w:rFonts w:asciiTheme="majorHAnsi" w:hAnsiTheme="majorHAnsi" w:cstheme="majorHAnsi"/>
                <w:iCs/>
                <w:color w:val="000000"/>
                <w:sz w:val="20"/>
                <w:szCs w:val="20"/>
              </w:rPr>
              <w:t xml:space="preserve">, </w:t>
            </w:r>
            <w:proofErr w:type="spellStart"/>
            <w:r w:rsidRPr="00915365">
              <w:rPr>
                <w:rFonts w:asciiTheme="majorHAnsi" w:hAnsiTheme="majorHAnsi" w:cstheme="majorHAnsi"/>
                <w:iCs/>
                <w:color w:val="000000"/>
                <w:sz w:val="20"/>
                <w:szCs w:val="20"/>
              </w:rPr>
              <w:t>ssDNA</w:t>
            </w:r>
            <w:proofErr w:type="spellEnd"/>
            <w:r w:rsidRPr="00915365">
              <w:rPr>
                <w:rFonts w:asciiTheme="majorHAnsi" w:hAnsiTheme="majorHAnsi" w:cstheme="majorHAnsi"/>
                <w:iCs/>
                <w:color w:val="000000"/>
                <w:sz w:val="20"/>
                <w:szCs w:val="20"/>
              </w:rPr>
              <w:t>, RNA, łącznie z</w:t>
            </w:r>
            <w:r w:rsidR="00915365" w:rsidRPr="00915365">
              <w:rPr>
                <w:rFonts w:asciiTheme="majorHAnsi" w:hAnsiTheme="majorHAnsi" w:cstheme="majorHAnsi"/>
                <w:iCs/>
                <w:color w:val="000000"/>
                <w:sz w:val="20"/>
                <w:szCs w:val="20"/>
              </w:rPr>
              <w:t xml:space="preserve"> wyznaczeniem współczynników czystości próbki</w:t>
            </w:r>
          </w:p>
        </w:tc>
      </w:tr>
      <w:tr w:rsidR="00C7561A" w:rsidRPr="00915365" w:rsidTr="00C55549">
        <w:trPr>
          <w:trHeight w:val="623"/>
        </w:trPr>
        <w:tc>
          <w:tcPr>
            <w:tcW w:w="9822" w:type="dxa"/>
          </w:tcPr>
          <w:p w:rsidR="00C7561A" w:rsidRPr="00915365" w:rsidRDefault="00915365" w:rsidP="00915365">
            <w:pPr>
              <w:pStyle w:val="Akapitzlist"/>
              <w:numPr>
                <w:ilvl w:val="0"/>
                <w:numId w:val="13"/>
              </w:numPr>
              <w:autoSpaceDE w:val="0"/>
              <w:autoSpaceDN w:val="0"/>
              <w:adjustRightInd w:val="0"/>
              <w:spacing w:after="0" w:line="240" w:lineRule="auto"/>
              <w:ind w:left="993" w:hanging="283"/>
              <w:rPr>
                <w:rFonts w:asciiTheme="majorHAnsi" w:hAnsiTheme="majorHAnsi" w:cstheme="majorHAnsi"/>
                <w:iCs/>
                <w:color w:val="000000"/>
                <w:sz w:val="20"/>
                <w:szCs w:val="20"/>
              </w:rPr>
            </w:pPr>
            <w:r w:rsidRPr="00915365">
              <w:rPr>
                <w:rFonts w:asciiTheme="majorHAnsi" w:hAnsiTheme="majorHAnsi" w:cstheme="majorHAnsi"/>
                <w:iCs/>
                <w:color w:val="000000"/>
                <w:sz w:val="20"/>
                <w:szCs w:val="20"/>
              </w:rPr>
              <w:t>Eksport wyników do programu kalkulacyjnego Excel z użyciem portu USB</w:t>
            </w:r>
          </w:p>
          <w:p w:rsidR="00915365" w:rsidRPr="00915365" w:rsidRDefault="00915365" w:rsidP="00915365">
            <w:pPr>
              <w:pStyle w:val="Akapitzlist"/>
              <w:numPr>
                <w:ilvl w:val="0"/>
                <w:numId w:val="13"/>
              </w:numPr>
              <w:autoSpaceDE w:val="0"/>
              <w:autoSpaceDN w:val="0"/>
              <w:adjustRightInd w:val="0"/>
              <w:spacing w:after="0" w:line="240" w:lineRule="auto"/>
              <w:ind w:left="993" w:hanging="283"/>
              <w:rPr>
                <w:rFonts w:asciiTheme="majorHAnsi" w:hAnsiTheme="majorHAnsi" w:cstheme="majorHAnsi"/>
                <w:iCs/>
                <w:color w:val="000000"/>
                <w:sz w:val="20"/>
                <w:szCs w:val="20"/>
              </w:rPr>
            </w:pPr>
            <w:r w:rsidRPr="00915365">
              <w:rPr>
                <w:rFonts w:asciiTheme="majorHAnsi" w:hAnsiTheme="majorHAnsi" w:cstheme="majorHAnsi"/>
                <w:iCs/>
                <w:color w:val="000000"/>
                <w:sz w:val="20"/>
                <w:szCs w:val="20"/>
              </w:rPr>
              <w:t>Automatyczne zapisywanie danych pomiarowych (</w:t>
            </w:r>
            <w:proofErr w:type="spellStart"/>
            <w:r w:rsidRPr="00915365">
              <w:rPr>
                <w:rFonts w:asciiTheme="majorHAnsi" w:hAnsiTheme="majorHAnsi" w:cstheme="majorHAnsi"/>
                <w:iCs/>
                <w:color w:val="000000"/>
                <w:sz w:val="20"/>
                <w:szCs w:val="20"/>
              </w:rPr>
              <w:t>Autosave</w:t>
            </w:r>
            <w:proofErr w:type="spellEnd"/>
            <w:r w:rsidRPr="00915365">
              <w:rPr>
                <w:rFonts w:asciiTheme="majorHAnsi" w:hAnsiTheme="majorHAnsi" w:cstheme="majorHAnsi"/>
                <w:iCs/>
                <w:color w:val="000000"/>
                <w:sz w:val="20"/>
                <w:szCs w:val="20"/>
              </w:rPr>
              <w:t>) do co najmniej 500 pomiarów</w:t>
            </w:r>
          </w:p>
          <w:p w:rsidR="00915365" w:rsidRPr="00915365" w:rsidRDefault="00915365" w:rsidP="00915365">
            <w:pPr>
              <w:pStyle w:val="Akapitzlist"/>
              <w:numPr>
                <w:ilvl w:val="0"/>
                <w:numId w:val="13"/>
              </w:numPr>
              <w:autoSpaceDE w:val="0"/>
              <w:autoSpaceDN w:val="0"/>
              <w:adjustRightInd w:val="0"/>
              <w:spacing w:after="0" w:line="240" w:lineRule="auto"/>
              <w:ind w:left="993" w:hanging="283"/>
              <w:rPr>
                <w:rFonts w:asciiTheme="majorHAnsi" w:hAnsiTheme="majorHAnsi" w:cstheme="majorHAnsi"/>
                <w:iCs/>
                <w:color w:val="000000"/>
                <w:sz w:val="20"/>
                <w:szCs w:val="20"/>
              </w:rPr>
            </w:pPr>
            <w:r w:rsidRPr="00915365">
              <w:rPr>
                <w:rFonts w:asciiTheme="majorHAnsi" w:hAnsiTheme="majorHAnsi" w:cstheme="majorHAnsi"/>
                <w:iCs/>
                <w:color w:val="000000"/>
                <w:sz w:val="20"/>
                <w:szCs w:val="20"/>
              </w:rPr>
              <w:t>Weryfikacja systemu kontroli drogi optycznej, diagnostyka źródła światła</w:t>
            </w:r>
          </w:p>
        </w:tc>
      </w:tr>
    </w:tbl>
    <w:p w:rsidR="00092BB7" w:rsidRPr="002329A0" w:rsidRDefault="00092BB7" w:rsidP="002329A0">
      <w:pPr>
        <w:autoSpaceDE w:val="0"/>
        <w:autoSpaceDN w:val="0"/>
        <w:adjustRightInd w:val="0"/>
        <w:spacing w:after="0" w:line="240" w:lineRule="auto"/>
        <w:jc w:val="both"/>
        <w:rPr>
          <w:rFonts w:cstheme="minorHAnsi"/>
          <w:b/>
          <w:bCs/>
          <w:sz w:val="20"/>
          <w:szCs w:val="20"/>
        </w:rPr>
      </w:pPr>
      <w:r w:rsidRPr="002329A0">
        <w:rPr>
          <w:rFonts w:cstheme="minorHAnsi"/>
          <w:b/>
          <w:bCs/>
          <w:sz w:val="20"/>
          <w:szCs w:val="20"/>
        </w:rPr>
        <w:t>II Kryteria oceny ofert</w:t>
      </w:r>
    </w:p>
    <w:p w:rsidR="00863F54" w:rsidRPr="00413A72" w:rsidRDefault="00863F54" w:rsidP="0044133F">
      <w:pPr>
        <w:pStyle w:val="Akapitzlist"/>
        <w:numPr>
          <w:ilvl w:val="0"/>
          <w:numId w:val="10"/>
        </w:numPr>
        <w:autoSpaceDE w:val="0"/>
        <w:autoSpaceDN w:val="0"/>
        <w:adjustRightInd w:val="0"/>
        <w:spacing w:after="0" w:line="240" w:lineRule="auto"/>
        <w:ind w:left="284" w:hanging="284"/>
        <w:jc w:val="both"/>
        <w:rPr>
          <w:rFonts w:cstheme="minorHAnsi"/>
          <w:sz w:val="20"/>
          <w:szCs w:val="20"/>
        </w:rPr>
      </w:pPr>
      <w:r w:rsidRPr="00413A72">
        <w:rPr>
          <w:rFonts w:cstheme="minorHAnsi"/>
          <w:sz w:val="20"/>
          <w:szCs w:val="20"/>
        </w:rPr>
        <w:t>Ocenie będą podlegać tylko oferty spełniające minimalne wymagania we wszystkich parametrach wskazanych w pkt I „Opis Przedmiotu Zamówienia”</w:t>
      </w:r>
      <w:r w:rsidR="00C55549">
        <w:rPr>
          <w:rFonts w:cstheme="minorHAnsi"/>
          <w:sz w:val="20"/>
          <w:szCs w:val="20"/>
        </w:rPr>
        <w:t xml:space="preserve"> oraz wymagania dot. terminu realizacji zamówienia i okresu gwarancji wskazane w pkt IV- „Dodatkowe informacje” </w:t>
      </w:r>
      <w:r w:rsidRPr="00413A72">
        <w:rPr>
          <w:rFonts w:cstheme="minorHAnsi"/>
          <w:sz w:val="20"/>
          <w:szCs w:val="20"/>
        </w:rPr>
        <w:t xml:space="preserve">. Oferty nie spełniające </w:t>
      </w:r>
      <w:r w:rsidR="00C55549">
        <w:rPr>
          <w:rFonts w:cstheme="minorHAnsi"/>
          <w:sz w:val="20"/>
          <w:szCs w:val="20"/>
        </w:rPr>
        <w:t>tych wymagań</w:t>
      </w:r>
      <w:r w:rsidRPr="00413A72">
        <w:rPr>
          <w:rFonts w:cstheme="minorHAnsi"/>
          <w:sz w:val="20"/>
          <w:szCs w:val="20"/>
        </w:rPr>
        <w:t xml:space="preserve"> zostaną odrzucone.</w:t>
      </w:r>
    </w:p>
    <w:p w:rsidR="00413A72" w:rsidRPr="00413A72" w:rsidRDefault="00413A72" w:rsidP="0044133F">
      <w:pPr>
        <w:pStyle w:val="Akapitzlist"/>
        <w:numPr>
          <w:ilvl w:val="0"/>
          <w:numId w:val="10"/>
        </w:numPr>
        <w:tabs>
          <w:tab w:val="left" w:pos="0"/>
        </w:tabs>
        <w:autoSpaceDE w:val="0"/>
        <w:autoSpaceDN w:val="0"/>
        <w:adjustRightInd w:val="0"/>
        <w:ind w:left="284" w:hanging="284"/>
        <w:jc w:val="both"/>
        <w:rPr>
          <w:rFonts w:cstheme="minorHAnsi"/>
          <w:sz w:val="20"/>
          <w:szCs w:val="20"/>
        </w:rPr>
      </w:pPr>
      <w:r w:rsidRPr="00413A72">
        <w:rPr>
          <w:rFonts w:cstheme="minorHAnsi"/>
          <w:sz w:val="20"/>
          <w:szCs w:val="20"/>
        </w:rPr>
        <w:t>Przy wyborze Zamawiający będzie się kierował punktacją wyszczególnioną poniżej przy następującej wadze kryteriów: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
        <w:gridCol w:w="2604"/>
        <w:gridCol w:w="1461"/>
      </w:tblGrid>
      <w:tr w:rsidR="00413A72" w:rsidRPr="00413A72" w:rsidTr="00C10A7A">
        <w:trPr>
          <w:jc w:val="center"/>
        </w:trPr>
        <w:tc>
          <w:tcPr>
            <w:tcW w:w="0" w:type="auto"/>
          </w:tcPr>
          <w:p w:rsidR="00413A72" w:rsidRPr="00413A72" w:rsidRDefault="00413A72" w:rsidP="00C10A7A">
            <w:pPr>
              <w:tabs>
                <w:tab w:val="num" w:pos="284"/>
              </w:tabs>
              <w:ind w:left="284" w:hanging="284"/>
              <w:jc w:val="center"/>
              <w:rPr>
                <w:rFonts w:cstheme="minorHAnsi"/>
                <w:b/>
                <w:sz w:val="20"/>
                <w:szCs w:val="20"/>
              </w:rPr>
            </w:pPr>
            <w:r w:rsidRPr="00413A72">
              <w:rPr>
                <w:rFonts w:cstheme="minorHAnsi"/>
                <w:b/>
                <w:sz w:val="20"/>
                <w:szCs w:val="20"/>
              </w:rPr>
              <w:t>Nr</w:t>
            </w:r>
          </w:p>
        </w:tc>
        <w:tc>
          <w:tcPr>
            <w:tcW w:w="0" w:type="auto"/>
          </w:tcPr>
          <w:p w:rsidR="00413A72" w:rsidRPr="00413A72" w:rsidRDefault="00413A72" w:rsidP="00C10A7A">
            <w:pPr>
              <w:tabs>
                <w:tab w:val="num" w:pos="284"/>
              </w:tabs>
              <w:ind w:left="284" w:hanging="284"/>
              <w:jc w:val="center"/>
              <w:rPr>
                <w:rFonts w:cstheme="minorHAnsi"/>
                <w:b/>
                <w:sz w:val="20"/>
                <w:szCs w:val="20"/>
              </w:rPr>
            </w:pPr>
            <w:r w:rsidRPr="00413A72">
              <w:rPr>
                <w:rFonts w:cstheme="minorHAnsi"/>
                <w:b/>
                <w:sz w:val="20"/>
                <w:szCs w:val="20"/>
              </w:rPr>
              <w:t>Kryterium oceny</w:t>
            </w:r>
          </w:p>
        </w:tc>
        <w:tc>
          <w:tcPr>
            <w:tcW w:w="0" w:type="auto"/>
          </w:tcPr>
          <w:p w:rsidR="00413A72" w:rsidRPr="00413A72" w:rsidRDefault="00413A72" w:rsidP="00C10A7A">
            <w:pPr>
              <w:tabs>
                <w:tab w:val="num" w:pos="284"/>
              </w:tabs>
              <w:ind w:left="284" w:hanging="284"/>
              <w:jc w:val="center"/>
              <w:rPr>
                <w:rFonts w:cstheme="minorHAnsi"/>
                <w:b/>
                <w:sz w:val="20"/>
                <w:szCs w:val="20"/>
              </w:rPr>
            </w:pPr>
            <w:r w:rsidRPr="00413A72">
              <w:rPr>
                <w:rFonts w:cstheme="minorHAnsi"/>
                <w:b/>
                <w:sz w:val="20"/>
                <w:szCs w:val="20"/>
              </w:rPr>
              <w:t>Waga = Punkty</w:t>
            </w:r>
          </w:p>
        </w:tc>
      </w:tr>
      <w:tr w:rsidR="00413A72" w:rsidRPr="00413A72" w:rsidTr="00C55549">
        <w:trPr>
          <w:trHeight w:val="263"/>
          <w:jc w:val="center"/>
        </w:trPr>
        <w:tc>
          <w:tcPr>
            <w:tcW w:w="0" w:type="auto"/>
          </w:tcPr>
          <w:p w:rsidR="00413A72" w:rsidRPr="00413A72" w:rsidRDefault="00413A72" w:rsidP="00C10A7A">
            <w:pPr>
              <w:tabs>
                <w:tab w:val="num" w:pos="284"/>
              </w:tabs>
              <w:ind w:left="284" w:hanging="284"/>
              <w:jc w:val="center"/>
              <w:rPr>
                <w:rFonts w:cstheme="minorHAnsi"/>
                <w:sz w:val="20"/>
                <w:szCs w:val="20"/>
              </w:rPr>
            </w:pPr>
            <w:r w:rsidRPr="00413A72">
              <w:rPr>
                <w:rFonts w:cstheme="minorHAnsi"/>
                <w:sz w:val="20"/>
                <w:szCs w:val="20"/>
              </w:rPr>
              <w:t>1</w:t>
            </w:r>
          </w:p>
        </w:tc>
        <w:tc>
          <w:tcPr>
            <w:tcW w:w="0" w:type="auto"/>
          </w:tcPr>
          <w:p w:rsidR="00413A72" w:rsidRPr="00413A72" w:rsidRDefault="00413A72" w:rsidP="00C10A7A">
            <w:pPr>
              <w:tabs>
                <w:tab w:val="num" w:pos="284"/>
              </w:tabs>
              <w:ind w:left="284" w:hanging="284"/>
              <w:jc w:val="center"/>
              <w:rPr>
                <w:rFonts w:cstheme="minorHAnsi"/>
                <w:sz w:val="20"/>
                <w:szCs w:val="20"/>
              </w:rPr>
            </w:pPr>
            <w:r w:rsidRPr="00413A72">
              <w:rPr>
                <w:rFonts w:cstheme="minorHAnsi"/>
                <w:sz w:val="20"/>
                <w:szCs w:val="20"/>
              </w:rPr>
              <w:t>Cena</w:t>
            </w:r>
          </w:p>
        </w:tc>
        <w:tc>
          <w:tcPr>
            <w:tcW w:w="0" w:type="auto"/>
          </w:tcPr>
          <w:p w:rsidR="00413A72" w:rsidRPr="00413A72" w:rsidRDefault="00C7561A" w:rsidP="00C10A7A">
            <w:pPr>
              <w:tabs>
                <w:tab w:val="num" w:pos="284"/>
              </w:tabs>
              <w:ind w:left="284" w:hanging="284"/>
              <w:jc w:val="center"/>
              <w:rPr>
                <w:rFonts w:cstheme="minorHAnsi"/>
                <w:sz w:val="20"/>
                <w:szCs w:val="20"/>
              </w:rPr>
            </w:pPr>
            <w:r>
              <w:rPr>
                <w:rFonts w:cstheme="minorHAnsi"/>
                <w:sz w:val="20"/>
                <w:szCs w:val="20"/>
              </w:rPr>
              <w:t>70% = 7</w:t>
            </w:r>
            <w:r w:rsidR="00413A72" w:rsidRPr="00413A72">
              <w:rPr>
                <w:rFonts w:cstheme="minorHAnsi"/>
                <w:sz w:val="20"/>
                <w:szCs w:val="20"/>
              </w:rPr>
              <w:t>0 pkt</w:t>
            </w:r>
          </w:p>
        </w:tc>
      </w:tr>
      <w:tr w:rsidR="00413A72" w:rsidRPr="00413A72" w:rsidTr="00C10A7A">
        <w:trPr>
          <w:jc w:val="center"/>
        </w:trPr>
        <w:tc>
          <w:tcPr>
            <w:tcW w:w="0" w:type="auto"/>
          </w:tcPr>
          <w:p w:rsidR="00413A72" w:rsidRPr="00413A72" w:rsidRDefault="00C7561A" w:rsidP="00C10A7A">
            <w:pPr>
              <w:tabs>
                <w:tab w:val="num" w:pos="284"/>
              </w:tabs>
              <w:ind w:left="284" w:hanging="284"/>
              <w:jc w:val="center"/>
              <w:rPr>
                <w:rFonts w:cstheme="minorHAnsi"/>
                <w:sz w:val="20"/>
                <w:szCs w:val="20"/>
              </w:rPr>
            </w:pPr>
            <w:r>
              <w:rPr>
                <w:rFonts w:cstheme="minorHAnsi"/>
                <w:sz w:val="20"/>
                <w:szCs w:val="20"/>
              </w:rPr>
              <w:t>2</w:t>
            </w:r>
          </w:p>
        </w:tc>
        <w:tc>
          <w:tcPr>
            <w:tcW w:w="0" w:type="auto"/>
          </w:tcPr>
          <w:p w:rsidR="00413A72" w:rsidRPr="00413A72" w:rsidRDefault="00413A72" w:rsidP="00C10A7A">
            <w:pPr>
              <w:tabs>
                <w:tab w:val="num" w:pos="284"/>
              </w:tabs>
              <w:ind w:left="284" w:hanging="284"/>
              <w:jc w:val="center"/>
              <w:rPr>
                <w:rFonts w:cstheme="minorHAnsi"/>
                <w:sz w:val="20"/>
                <w:szCs w:val="20"/>
              </w:rPr>
            </w:pPr>
            <w:r w:rsidRPr="00413A72">
              <w:rPr>
                <w:rFonts w:eastAsia="Calibri" w:cstheme="minorHAnsi"/>
                <w:color w:val="000000"/>
                <w:sz w:val="20"/>
                <w:szCs w:val="20"/>
              </w:rPr>
              <w:t>zakres stężenia BSA</w:t>
            </w:r>
          </w:p>
        </w:tc>
        <w:tc>
          <w:tcPr>
            <w:tcW w:w="0" w:type="auto"/>
          </w:tcPr>
          <w:p w:rsidR="00413A72" w:rsidRPr="00413A72" w:rsidRDefault="00413A72" w:rsidP="00C10A7A">
            <w:pPr>
              <w:tabs>
                <w:tab w:val="num" w:pos="284"/>
              </w:tabs>
              <w:ind w:left="284" w:hanging="284"/>
              <w:jc w:val="center"/>
              <w:rPr>
                <w:rFonts w:cstheme="minorHAnsi"/>
                <w:sz w:val="20"/>
                <w:szCs w:val="20"/>
              </w:rPr>
            </w:pPr>
            <w:r w:rsidRPr="00413A72">
              <w:rPr>
                <w:rFonts w:cstheme="minorHAnsi"/>
                <w:sz w:val="20"/>
                <w:szCs w:val="20"/>
              </w:rPr>
              <w:t>10% = 10 pkt</w:t>
            </w:r>
          </w:p>
        </w:tc>
      </w:tr>
      <w:tr w:rsidR="00413A72" w:rsidRPr="00413A72" w:rsidTr="00C55549">
        <w:trPr>
          <w:trHeight w:val="261"/>
          <w:jc w:val="center"/>
        </w:trPr>
        <w:tc>
          <w:tcPr>
            <w:tcW w:w="0" w:type="auto"/>
          </w:tcPr>
          <w:p w:rsidR="00413A72" w:rsidRPr="00413A72" w:rsidRDefault="00C7561A" w:rsidP="00C10A7A">
            <w:pPr>
              <w:tabs>
                <w:tab w:val="num" w:pos="284"/>
              </w:tabs>
              <w:ind w:left="284" w:hanging="284"/>
              <w:jc w:val="center"/>
              <w:rPr>
                <w:rFonts w:cstheme="minorHAnsi"/>
                <w:sz w:val="20"/>
                <w:szCs w:val="20"/>
              </w:rPr>
            </w:pPr>
            <w:r>
              <w:rPr>
                <w:rFonts w:cstheme="minorHAnsi"/>
                <w:sz w:val="20"/>
                <w:szCs w:val="20"/>
              </w:rPr>
              <w:t>3</w:t>
            </w:r>
          </w:p>
        </w:tc>
        <w:tc>
          <w:tcPr>
            <w:tcW w:w="0" w:type="auto"/>
          </w:tcPr>
          <w:p w:rsidR="00413A72" w:rsidRPr="00C7561A" w:rsidRDefault="00C7561A" w:rsidP="00C10A7A">
            <w:pPr>
              <w:tabs>
                <w:tab w:val="num" w:pos="284"/>
              </w:tabs>
              <w:ind w:left="284" w:hanging="284"/>
              <w:jc w:val="center"/>
              <w:rPr>
                <w:rFonts w:cstheme="minorHAnsi"/>
                <w:sz w:val="20"/>
                <w:szCs w:val="20"/>
              </w:rPr>
            </w:pPr>
            <w:r w:rsidRPr="00C7561A">
              <w:rPr>
                <w:rFonts w:cstheme="minorHAnsi"/>
                <w:iCs/>
                <w:color w:val="000000"/>
                <w:sz w:val="20"/>
                <w:szCs w:val="20"/>
              </w:rPr>
              <w:t>Wymiary urządzenia</w:t>
            </w:r>
          </w:p>
        </w:tc>
        <w:tc>
          <w:tcPr>
            <w:tcW w:w="0" w:type="auto"/>
          </w:tcPr>
          <w:p w:rsidR="00413A72" w:rsidRPr="00413A72" w:rsidRDefault="00413A72" w:rsidP="00C10A7A">
            <w:pPr>
              <w:tabs>
                <w:tab w:val="num" w:pos="284"/>
              </w:tabs>
              <w:ind w:left="284" w:hanging="284"/>
              <w:jc w:val="center"/>
              <w:rPr>
                <w:rFonts w:cstheme="minorHAnsi"/>
                <w:sz w:val="20"/>
                <w:szCs w:val="20"/>
              </w:rPr>
            </w:pPr>
            <w:r w:rsidRPr="00413A72">
              <w:rPr>
                <w:rFonts w:cstheme="minorHAnsi"/>
                <w:sz w:val="20"/>
                <w:szCs w:val="20"/>
              </w:rPr>
              <w:t>10% = 10 pkt</w:t>
            </w:r>
          </w:p>
        </w:tc>
      </w:tr>
      <w:tr w:rsidR="00413A72" w:rsidRPr="00413A72" w:rsidTr="00C10A7A">
        <w:trPr>
          <w:jc w:val="center"/>
        </w:trPr>
        <w:tc>
          <w:tcPr>
            <w:tcW w:w="0" w:type="auto"/>
          </w:tcPr>
          <w:p w:rsidR="00413A72" w:rsidRPr="00413A72" w:rsidRDefault="00C7561A" w:rsidP="00C10A7A">
            <w:pPr>
              <w:tabs>
                <w:tab w:val="num" w:pos="284"/>
              </w:tabs>
              <w:ind w:left="284" w:hanging="284"/>
              <w:jc w:val="center"/>
              <w:rPr>
                <w:rFonts w:cstheme="minorHAnsi"/>
                <w:sz w:val="20"/>
                <w:szCs w:val="20"/>
              </w:rPr>
            </w:pPr>
            <w:r>
              <w:rPr>
                <w:rFonts w:cstheme="minorHAnsi"/>
                <w:sz w:val="20"/>
                <w:szCs w:val="20"/>
              </w:rPr>
              <w:t>4</w:t>
            </w:r>
          </w:p>
        </w:tc>
        <w:tc>
          <w:tcPr>
            <w:tcW w:w="0" w:type="auto"/>
          </w:tcPr>
          <w:p w:rsidR="00413A72" w:rsidRPr="00413A72" w:rsidRDefault="00413A72" w:rsidP="00C10A7A">
            <w:pPr>
              <w:tabs>
                <w:tab w:val="num" w:pos="284"/>
              </w:tabs>
              <w:ind w:left="284" w:hanging="284"/>
              <w:jc w:val="center"/>
              <w:rPr>
                <w:rFonts w:cstheme="minorHAnsi"/>
                <w:sz w:val="20"/>
                <w:szCs w:val="20"/>
              </w:rPr>
            </w:pPr>
            <w:r w:rsidRPr="00413A72">
              <w:rPr>
                <w:rFonts w:eastAsia="Calibri" w:cstheme="minorHAnsi"/>
                <w:color w:val="000000"/>
                <w:sz w:val="20"/>
                <w:szCs w:val="20"/>
              </w:rPr>
              <w:t>precyzja pomiaru absorbancji</w:t>
            </w:r>
          </w:p>
        </w:tc>
        <w:tc>
          <w:tcPr>
            <w:tcW w:w="0" w:type="auto"/>
          </w:tcPr>
          <w:p w:rsidR="00413A72" w:rsidRPr="00413A72" w:rsidRDefault="00413A72" w:rsidP="00C10A7A">
            <w:pPr>
              <w:tabs>
                <w:tab w:val="num" w:pos="284"/>
              </w:tabs>
              <w:ind w:left="284" w:hanging="284"/>
              <w:jc w:val="center"/>
              <w:rPr>
                <w:rFonts w:cstheme="minorHAnsi"/>
                <w:sz w:val="20"/>
                <w:szCs w:val="20"/>
              </w:rPr>
            </w:pPr>
            <w:r w:rsidRPr="00413A72">
              <w:rPr>
                <w:rFonts w:cstheme="minorHAnsi"/>
                <w:sz w:val="20"/>
                <w:szCs w:val="20"/>
              </w:rPr>
              <w:t>10% = 10 pkt</w:t>
            </w:r>
          </w:p>
        </w:tc>
      </w:tr>
    </w:tbl>
    <w:p w:rsidR="00413A72" w:rsidRDefault="00413A72" w:rsidP="00413A72">
      <w:pPr>
        <w:pStyle w:val="Akapitzlist"/>
        <w:spacing w:after="0" w:line="259" w:lineRule="auto"/>
        <w:ind w:left="284"/>
        <w:jc w:val="both"/>
        <w:rPr>
          <w:rFonts w:asciiTheme="minorHAnsi" w:hAnsiTheme="minorHAnsi" w:cstheme="minorHAnsi"/>
          <w:sz w:val="20"/>
          <w:szCs w:val="20"/>
        </w:rPr>
      </w:pPr>
    </w:p>
    <w:p w:rsidR="00413A72" w:rsidRPr="00413A72" w:rsidRDefault="00413A72" w:rsidP="0044133F">
      <w:pPr>
        <w:pStyle w:val="Akapitzlist"/>
        <w:numPr>
          <w:ilvl w:val="0"/>
          <w:numId w:val="10"/>
        </w:numPr>
        <w:tabs>
          <w:tab w:val="num" w:pos="0"/>
        </w:tabs>
        <w:spacing w:after="0"/>
        <w:ind w:left="284" w:hanging="284"/>
        <w:jc w:val="both"/>
        <w:rPr>
          <w:rFonts w:cstheme="minorHAnsi"/>
          <w:sz w:val="20"/>
          <w:szCs w:val="20"/>
        </w:rPr>
      </w:pPr>
      <w:r w:rsidRPr="00413A72">
        <w:rPr>
          <w:rFonts w:cstheme="minorHAnsi"/>
          <w:sz w:val="20"/>
          <w:szCs w:val="20"/>
        </w:rPr>
        <w:t xml:space="preserve">Stosowanie matematycznych obliczeń stanowi zasadę przy ocenie ofert. Waga danego kryterium równa się maksymalnej liczbie punktów możliwych do uzyskania. Ocena punktowa (w zaokrągleniu do setnych części punktu) dokonana zostanie na podstawie opisanych poniżej zasad/wzorów; </w:t>
      </w:r>
    </w:p>
    <w:p w:rsidR="00413A72" w:rsidRPr="00413A72" w:rsidRDefault="00413A72" w:rsidP="00482EDE">
      <w:pPr>
        <w:numPr>
          <w:ilvl w:val="0"/>
          <w:numId w:val="4"/>
        </w:numPr>
        <w:tabs>
          <w:tab w:val="clear" w:pos="4527"/>
          <w:tab w:val="num" w:pos="709"/>
        </w:tabs>
        <w:spacing w:after="0"/>
        <w:ind w:left="709" w:hanging="425"/>
        <w:jc w:val="both"/>
        <w:rPr>
          <w:rFonts w:cstheme="minorHAnsi"/>
          <w:sz w:val="20"/>
          <w:szCs w:val="20"/>
        </w:rPr>
      </w:pPr>
      <w:r w:rsidRPr="00413A72">
        <w:rPr>
          <w:rFonts w:cstheme="minorHAnsi"/>
          <w:sz w:val="20"/>
          <w:szCs w:val="20"/>
        </w:rPr>
        <w:t xml:space="preserve">Kryterium </w:t>
      </w:r>
      <w:r w:rsidRPr="00413A72">
        <w:rPr>
          <w:rFonts w:cstheme="minorHAnsi"/>
          <w:b/>
          <w:bCs/>
          <w:sz w:val="20"/>
          <w:szCs w:val="20"/>
        </w:rPr>
        <w:t>Cena</w:t>
      </w:r>
      <w:r w:rsidRPr="00413A72">
        <w:rPr>
          <w:rFonts w:cstheme="minorHAnsi"/>
          <w:sz w:val="20"/>
          <w:szCs w:val="20"/>
        </w:rPr>
        <w:t xml:space="preserve"> – w zakresie tego kryterium oceniane będzie zaoferowanie jak najniższej ceny oferty. Ocena następować będzie w odniesieniu do najkorzystniejszej ceny spośród zaoferowanych przez Wykonawców. Kryterium, liczone wg wzoru:</w:t>
      </w:r>
    </w:p>
    <w:p w:rsidR="00413A72" w:rsidRPr="00413A72" w:rsidRDefault="00482EDE" w:rsidP="00482EDE">
      <w:pPr>
        <w:tabs>
          <w:tab w:val="num" w:pos="709"/>
        </w:tabs>
        <w:ind w:left="709" w:hanging="425"/>
        <w:jc w:val="both"/>
        <w:rPr>
          <w:rFonts w:cstheme="minorHAnsi"/>
          <w:b/>
          <w:bCs/>
          <w:sz w:val="20"/>
          <w:szCs w:val="20"/>
        </w:rPr>
      </w:pPr>
      <w:r>
        <w:rPr>
          <w:rFonts w:cstheme="minorHAnsi"/>
          <w:b/>
          <w:bCs/>
          <w:sz w:val="20"/>
          <w:szCs w:val="20"/>
        </w:rPr>
        <w:tab/>
      </w:r>
      <w:r w:rsidR="00413A72" w:rsidRPr="00413A72">
        <w:rPr>
          <w:rFonts w:cstheme="minorHAnsi"/>
          <w:b/>
          <w:bCs/>
          <w:sz w:val="20"/>
          <w:szCs w:val="20"/>
        </w:rPr>
        <w:t xml:space="preserve">Ocena oferty rozpatrywanej = </w:t>
      </w:r>
      <w:r w:rsidR="00270D3B">
        <w:rPr>
          <w:rFonts w:cstheme="minorHAnsi"/>
          <w:b/>
          <w:bCs/>
          <w:sz w:val="20"/>
          <w:szCs w:val="20"/>
        </w:rPr>
        <w:t>(</w:t>
      </w:r>
      <w:r w:rsidR="00413A72" w:rsidRPr="00413A72">
        <w:rPr>
          <w:rFonts w:cstheme="minorHAnsi"/>
          <w:b/>
          <w:bCs/>
          <w:sz w:val="20"/>
          <w:szCs w:val="20"/>
        </w:rPr>
        <w:t>cena najniższa : cena rozpatrywana</w:t>
      </w:r>
      <w:r w:rsidR="00270D3B">
        <w:rPr>
          <w:rFonts w:cstheme="minorHAnsi"/>
          <w:b/>
          <w:bCs/>
          <w:sz w:val="20"/>
          <w:szCs w:val="20"/>
        </w:rPr>
        <w:t>)</w:t>
      </w:r>
      <w:r w:rsidR="00C7561A">
        <w:rPr>
          <w:rFonts w:cstheme="minorHAnsi"/>
          <w:b/>
          <w:bCs/>
          <w:sz w:val="20"/>
          <w:szCs w:val="20"/>
        </w:rPr>
        <w:t xml:space="preserve"> x 7</w:t>
      </w:r>
      <w:r w:rsidR="00413A72" w:rsidRPr="00413A72">
        <w:rPr>
          <w:rFonts w:cstheme="minorHAnsi"/>
          <w:b/>
          <w:bCs/>
          <w:sz w:val="20"/>
          <w:szCs w:val="20"/>
        </w:rPr>
        <w:t>0</w:t>
      </w:r>
    </w:p>
    <w:p w:rsidR="00F4156C" w:rsidRPr="00413A72" w:rsidRDefault="00F4156C" w:rsidP="00482EDE">
      <w:pPr>
        <w:numPr>
          <w:ilvl w:val="0"/>
          <w:numId w:val="6"/>
        </w:numPr>
        <w:tabs>
          <w:tab w:val="clear" w:pos="1107"/>
        </w:tabs>
        <w:spacing w:after="0"/>
        <w:ind w:left="709" w:hanging="425"/>
        <w:jc w:val="both"/>
        <w:rPr>
          <w:rFonts w:cstheme="minorHAnsi"/>
          <w:sz w:val="20"/>
          <w:szCs w:val="20"/>
        </w:rPr>
      </w:pPr>
      <w:r w:rsidRPr="00413A72">
        <w:rPr>
          <w:rFonts w:cstheme="minorHAnsi"/>
          <w:sz w:val="20"/>
          <w:szCs w:val="20"/>
        </w:rPr>
        <w:t>Kryterium</w:t>
      </w:r>
      <w:r>
        <w:rPr>
          <w:rFonts w:cstheme="minorHAnsi"/>
          <w:sz w:val="20"/>
          <w:szCs w:val="20"/>
        </w:rPr>
        <w:t xml:space="preserve"> </w:t>
      </w:r>
      <w:r w:rsidR="00270D3B" w:rsidRPr="00270D3B">
        <w:rPr>
          <w:rFonts w:eastAsia="Calibri" w:cstheme="minorHAnsi"/>
          <w:b/>
          <w:color w:val="000000"/>
          <w:sz w:val="20"/>
          <w:szCs w:val="20"/>
        </w:rPr>
        <w:t>zakres stężenia BSA</w:t>
      </w:r>
      <w:r w:rsidR="00270D3B" w:rsidRPr="00413A72">
        <w:rPr>
          <w:rFonts w:cstheme="minorHAnsi"/>
          <w:sz w:val="20"/>
          <w:szCs w:val="20"/>
        </w:rPr>
        <w:t xml:space="preserve"> </w:t>
      </w:r>
      <w:r w:rsidRPr="00413A72">
        <w:rPr>
          <w:rFonts w:cstheme="minorHAnsi"/>
          <w:sz w:val="20"/>
          <w:szCs w:val="20"/>
        </w:rPr>
        <w:t xml:space="preserve">– w </w:t>
      </w:r>
      <w:r>
        <w:rPr>
          <w:rFonts w:cstheme="minorHAnsi"/>
          <w:sz w:val="20"/>
          <w:szCs w:val="20"/>
        </w:rPr>
        <w:t>zakresie tego kryterium oceniany</w:t>
      </w:r>
      <w:r w:rsidRPr="00413A72">
        <w:rPr>
          <w:rFonts w:cstheme="minorHAnsi"/>
          <w:sz w:val="20"/>
          <w:szCs w:val="20"/>
        </w:rPr>
        <w:t xml:space="preserve"> będzie </w:t>
      </w:r>
      <w:r>
        <w:rPr>
          <w:rFonts w:cstheme="minorHAnsi"/>
          <w:sz w:val="20"/>
          <w:szCs w:val="20"/>
        </w:rPr>
        <w:t>parametr zaoferowany przez Wykonawcę</w:t>
      </w:r>
      <w:r w:rsidRPr="00413A72">
        <w:rPr>
          <w:rFonts w:cstheme="minorHAnsi"/>
          <w:sz w:val="20"/>
          <w:szCs w:val="20"/>
        </w:rPr>
        <w:t>. Punktowanie nastąpi wg zasad:</w:t>
      </w:r>
    </w:p>
    <w:p w:rsidR="00F4156C" w:rsidRPr="00F4156C" w:rsidRDefault="00F4156C" w:rsidP="00482EDE">
      <w:pPr>
        <w:pStyle w:val="Akapitzlist"/>
        <w:numPr>
          <w:ilvl w:val="0"/>
          <w:numId w:val="7"/>
        </w:numPr>
        <w:tabs>
          <w:tab w:val="left" w:pos="567"/>
        </w:tabs>
        <w:autoSpaceDE w:val="0"/>
        <w:autoSpaceDN w:val="0"/>
        <w:adjustRightInd w:val="0"/>
        <w:spacing w:after="0" w:line="240" w:lineRule="auto"/>
        <w:ind w:left="1134" w:hanging="425"/>
        <w:rPr>
          <w:color w:val="000000"/>
          <w:sz w:val="20"/>
          <w:szCs w:val="20"/>
        </w:rPr>
      </w:pPr>
      <w:r>
        <w:rPr>
          <w:rFonts w:asciiTheme="minorHAnsi" w:hAnsiTheme="minorHAnsi" w:cstheme="minorHAnsi"/>
          <w:sz w:val="20"/>
          <w:szCs w:val="20"/>
        </w:rPr>
        <w:t>z</w:t>
      </w:r>
      <w:r w:rsidRPr="00413A72">
        <w:rPr>
          <w:rFonts w:asciiTheme="minorHAnsi" w:hAnsiTheme="minorHAnsi" w:cstheme="minorHAnsi"/>
          <w:sz w:val="20"/>
          <w:szCs w:val="20"/>
        </w:rPr>
        <w:t>aoferowanie</w:t>
      </w:r>
      <w:r>
        <w:rPr>
          <w:rFonts w:asciiTheme="minorHAnsi" w:hAnsiTheme="minorHAnsi" w:cstheme="minorHAnsi"/>
          <w:sz w:val="20"/>
          <w:szCs w:val="20"/>
        </w:rPr>
        <w:t xml:space="preserve"> parametru „</w:t>
      </w:r>
      <w:r w:rsidR="00270D3B" w:rsidRPr="00413A72">
        <w:rPr>
          <w:rFonts w:asciiTheme="minorHAnsi" w:hAnsiTheme="minorHAnsi" w:cstheme="minorHAnsi"/>
          <w:color w:val="000000"/>
          <w:sz w:val="20"/>
          <w:szCs w:val="20"/>
        </w:rPr>
        <w:t>zakres stężenia BSA</w:t>
      </w:r>
      <w:r w:rsidR="00270D3B">
        <w:rPr>
          <w:rFonts w:asciiTheme="minorHAnsi" w:hAnsiTheme="minorHAnsi" w:cstheme="minorHAnsi"/>
          <w:color w:val="000000"/>
          <w:sz w:val="20"/>
          <w:szCs w:val="20"/>
        </w:rPr>
        <w:t>”</w:t>
      </w:r>
      <w:r w:rsidR="00270D3B">
        <w:rPr>
          <w:rFonts w:asciiTheme="minorHAnsi" w:hAnsiTheme="minorHAnsi" w:cstheme="minorHAnsi"/>
          <w:sz w:val="20"/>
          <w:szCs w:val="20"/>
        </w:rPr>
        <w:t xml:space="preserve"> </w:t>
      </w:r>
      <w:r>
        <w:rPr>
          <w:rFonts w:asciiTheme="minorHAnsi" w:hAnsiTheme="minorHAnsi" w:cstheme="minorHAnsi"/>
          <w:sz w:val="20"/>
          <w:szCs w:val="20"/>
        </w:rPr>
        <w:t>na poziomie minimalnych wymagań tj.: „</w:t>
      </w:r>
      <w:r w:rsidR="00BD58F9" w:rsidRPr="00915365">
        <w:rPr>
          <w:rFonts w:asciiTheme="majorHAnsi" w:hAnsiTheme="majorHAnsi" w:cstheme="majorHAnsi"/>
          <w:iCs/>
          <w:color w:val="000000"/>
          <w:sz w:val="20"/>
          <w:szCs w:val="20"/>
        </w:rPr>
        <w:t>od  0,12 mg/ml do 45 mg</w:t>
      </w:r>
      <w:r w:rsidR="00BD58F9">
        <w:rPr>
          <w:rFonts w:asciiTheme="majorHAnsi" w:hAnsiTheme="majorHAnsi" w:cstheme="majorHAnsi"/>
          <w:iCs/>
          <w:color w:val="000000"/>
          <w:sz w:val="20"/>
          <w:szCs w:val="20"/>
        </w:rPr>
        <w:t xml:space="preserve">/ml bez potrzeby powtarzania </w:t>
      </w:r>
      <w:r w:rsidR="00BD58F9" w:rsidRPr="00915365">
        <w:rPr>
          <w:rFonts w:asciiTheme="majorHAnsi" w:hAnsiTheme="majorHAnsi" w:cstheme="majorHAnsi"/>
          <w:iCs/>
          <w:color w:val="000000"/>
          <w:sz w:val="20"/>
          <w:szCs w:val="20"/>
        </w:rPr>
        <w:t>pomiaru próbki o nieznanym stężeniu, bez konieczności zagęszczania lub rozcieńczania</w:t>
      </w:r>
      <w:r>
        <w:rPr>
          <w:color w:val="000000"/>
          <w:sz w:val="20"/>
          <w:szCs w:val="20"/>
        </w:rPr>
        <w:t>”</w:t>
      </w:r>
      <w:r w:rsidRPr="00F4156C">
        <w:rPr>
          <w:rFonts w:asciiTheme="minorHAnsi" w:hAnsiTheme="minorHAnsi" w:cstheme="minorHAnsi"/>
          <w:sz w:val="20"/>
          <w:szCs w:val="20"/>
        </w:rPr>
        <w:t xml:space="preserve"> - oferta otrzymuje </w:t>
      </w:r>
      <w:r w:rsidRPr="00F4156C">
        <w:rPr>
          <w:rFonts w:asciiTheme="minorHAnsi" w:hAnsiTheme="minorHAnsi" w:cstheme="minorHAnsi"/>
          <w:b/>
          <w:sz w:val="20"/>
          <w:szCs w:val="20"/>
        </w:rPr>
        <w:t>0</w:t>
      </w:r>
      <w:r w:rsidRPr="00F4156C">
        <w:rPr>
          <w:rFonts w:asciiTheme="minorHAnsi" w:hAnsiTheme="minorHAnsi" w:cstheme="minorHAnsi"/>
          <w:sz w:val="20"/>
          <w:szCs w:val="20"/>
        </w:rPr>
        <w:t xml:space="preserve"> pkt, lub</w:t>
      </w:r>
    </w:p>
    <w:p w:rsidR="00F4156C" w:rsidRPr="00F4156C" w:rsidRDefault="00F4156C" w:rsidP="00482EDE">
      <w:pPr>
        <w:pStyle w:val="Akapitzlist"/>
        <w:numPr>
          <w:ilvl w:val="0"/>
          <w:numId w:val="7"/>
        </w:numPr>
        <w:autoSpaceDE w:val="0"/>
        <w:autoSpaceDN w:val="0"/>
        <w:adjustRightInd w:val="0"/>
        <w:spacing w:after="0" w:line="259" w:lineRule="auto"/>
        <w:ind w:left="1134" w:hanging="425"/>
        <w:jc w:val="both"/>
        <w:rPr>
          <w:rFonts w:asciiTheme="minorHAnsi" w:hAnsiTheme="minorHAnsi" w:cstheme="minorHAnsi"/>
          <w:color w:val="000000"/>
          <w:sz w:val="20"/>
          <w:szCs w:val="20"/>
        </w:rPr>
      </w:pPr>
      <w:r>
        <w:rPr>
          <w:color w:val="000000"/>
          <w:sz w:val="20"/>
          <w:szCs w:val="20"/>
        </w:rPr>
        <w:t xml:space="preserve">zaoferowanie parametru </w:t>
      </w:r>
      <w:r>
        <w:rPr>
          <w:rFonts w:asciiTheme="minorHAnsi" w:hAnsiTheme="minorHAnsi" w:cstheme="minorHAnsi"/>
          <w:sz w:val="20"/>
          <w:szCs w:val="20"/>
        </w:rPr>
        <w:t>„</w:t>
      </w:r>
      <w:r w:rsidR="00270D3B" w:rsidRPr="00413A72">
        <w:rPr>
          <w:rFonts w:asciiTheme="minorHAnsi" w:hAnsiTheme="minorHAnsi" w:cstheme="minorHAnsi"/>
          <w:color w:val="000000"/>
          <w:sz w:val="20"/>
          <w:szCs w:val="20"/>
        </w:rPr>
        <w:t>zakres stężenia BSA</w:t>
      </w:r>
      <w:r>
        <w:rPr>
          <w:rFonts w:asciiTheme="minorHAnsi" w:hAnsiTheme="minorHAnsi" w:cstheme="minorHAnsi"/>
          <w:sz w:val="20"/>
          <w:szCs w:val="20"/>
        </w:rPr>
        <w:t>” na poziomie lepszym niż minimalne</w:t>
      </w:r>
      <w:r w:rsidR="00BD58F9">
        <w:rPr>
          <w:rFonts w:asciiTheme="minorHAnsi" w:hAnsiTheme="minorHAnsi" w:cstheme="minorHAnsi"/>
          <w:sz w:val="20"/>
          <w:szCs w:val="20"/>
        </w:rPr>
        <w:t xml:space="preserve"> (szerszy zakres)</w:t>
      </w:r>
      <w:r>
        <w:rPr>
          <w:rFonts w:asciiTheme="minorHAnsi" w:hAnsiTheme="minorHAnsi" w:cstheme="minorHAnsi"/>
          <w:sz w:val="20"/>
          <w:szCs w:val="20"/>
        </w:rPr>
        <w:t xml:space="preserve"> wymagania -</w:t>
      </w:r>
      <w:r w:rsidRPr="00F4156C">
        <w:rPr>
          <w:rFonts w:asciiTheme="minorHAnsi" w:hAnsiTheme="minorHAnsi" w:cstheme="minorHAnsi"/>
          <w:sz w:val="20"/>
          <w:szCs w:val="20"/>
        </w:rPr>
        <w:t xml:space="preserve"> </w:t>
      </w:r>
      <w:r w:rsidRPr="00413A72">
        <w:rPr>
          <w:rFonts w:asciiTheme="minorHAnsi" w:hAnsiTheme="minorHAnsi" w:cstheme="minorHAnsi"/>
          <w:sz w:val="20"/>
          <w:szCs w:val="20"/>
        </w:rPr>
        <w:t xml:space="preserve">oferta otrzymuje </w:t>
      </w:r>
      <w:r w:rsidRPr="00413A72">
        <w:rPr>
          <w:rFonts w:asciiTheme="minorHAnsi" w:hAnsiTheme="minorHAnsi" w:cstheme="minorHAnsi"/>
          <w:b/>
          <w:sz w:val="20"/>
          <w:szCs w:val="20"/>
        </w:rPr>
        <w:t>10</w:t>
      </w:r>
      <w:r w:rsidRPr="00413A72">
        <w:rPr>
          <w:rFonts w:asciiTheme="minorHAnsi" w:hAnsiTheme="minorHAnsi" w:cstheme="minorHAnsi"/>
          <w:sz w:val="20"/>
          <w:szCs w:val="20"/>
        </w:rPr>
        <w:t xml:space="preserve"> pkt</w:t>
      </w:r>
    </w:p>
    <w:p w:rsidR="00F4156C" w:rsidRPr="00413A72" w:rsidRDefault="00F4156C" w:rsidP="00482EDE">
      <w:pPr>
        <w:ind w:left="1134" w:hanging="425"/>
        <w:jc w:val="both"/>
        <w:rPr>
          <w:rFonts w:cstheme="minorHAnsi"/>
          <w:b/>
          <w:sz w:val="20"/>
          <w:szCs w:val="20"/>
        </w:rPr>
      </w:pPr>
      <w:r w:rsidRPr="00413A72">
        <w:rPr>
          <w:rFonts w:cstheme="minorHAnsi"/>
          <w:b/>
          <w:sz w:val="20"/>
          <w:szCs w:val="20"/>
        </w:rPr>
        <w:t>Ocena oferty rozpatrywanej = punkty otrzymane</w:t>
      </w:r>
    </w:p>
    <w:p w:rsidR="00F4156C" w:rsidRPr="00413A72" w:rsidRDefault="00F4156C" w:rsidP="00482EDE">
      <w:pPr>
        <w:numPr>
          <w:ilvl w:val="0"/>
          <w:numId w:val="6"/>
        </w:numPr>
        <w:tabs>
          <w:tab w:val="clear" w:pos="1107"/>
          <w:tab w:val="left" w:pos="142"/>
        </w:tabs>
        <w:spacing w:after="0"/>
        <w:ind w:left="709" w:hanging="425"/>
        <w:jc w:val="both"/>
        <w:rPr>
          <w:rFonts w:cstheme="minorHAnsi"/>
          <w:sz w:val="20"/>
          <w:szCs w:val="20"/>
        </w:rPr>
      </w:pPr>
      <w:r w:rsidRPr="00413A72">
        <w:rPr>
          <w:rFonts w:cstheme="minorHAnsi"/>
          <w:sz w:val="20"/>
          <w:szCs w:val="20"/>
        </w:rPr>
        <w:t>Kryterium</w:t>
      </w:r>
      <w:r>
        <w:rPr>
          <w:rFonts w:cstheme="minorHAnsi"/>
          <w:sz w:val="20"/>
          <w:szCs w:val="20"/>
        </w:rPr>
        <w:t xml:space="preserve"> </w:t>
      </w:r>
      <w:r w:rsidR="00BD58F9">
        <w:rPr>
          <w:rFonts w:eastAsia="Calibri" w:cstheme="minorHAnsi"/>
          <w:b/>
          <w:color w:val="000000"/>
          <w:sz w:val="20"/>
          <w:szCs w:val="20"/>
        </w:rPr>
        <w:t>wymiary urządzenia</w:t>
      </w:r>
      <w:r w:rsidR="00270D3B" w:rsidRPr="00413A72">
        <w:rPr>
          <w:rFonts w:cstheme="minorHAnsi"/>
          <w:sz w:val="20"/>
          <w:szCs w:val="20"/>
        </w:rPr>
        <w:t xml:space="preserve"> </w:t>
      </w:r>
      <w:r w:rsidRPr="00413A72">
        <w:rPr>
          <w:rFonts w:cstheme="minorHAnsi"/>
          <w:sz w:val="20"/>
          <w:szCs w:val="20"/>
        </w:rPr>
        <w:t xml:space="preserve">– w </w:t>
      </w:r>
      <w:r>
        <w:rPr>
          <w:rFonts w:cstheme="minorHAnsi"/>
          <w:sz w:val="20"/>
          <w:szCs w:val="20"/>
        </w:rPr>
        <w:t>zakresie tego kryterium oceniany</w:t>
      </w:r>
      <w:r w:rsidRPr="00413A72">
        <w:rPr>
          <w:rFonts w:cstheme="minorHAnsi"/>
          <w:sz w:val="20"/>
          <w:szCs w:val="20"/>
        </w:rPr>
        <w:t xml:space="preserve"> będzie </w:t>
      </w:r>
      <w:r>
        <w:rPr>
          <w:rFonts w:cstheme="minorHAnsi"/>
          <w:sz w:val="20"/>
          <w:szCs w:val="20"/>
        </w:rPr>
        <w:t>parametr zaoferowany przez Wykonawcę</w:t>
      </w:r>
      <w:r w:rsidRPr="00413A72">
        <w:rPr>
          <w:rFonts w:cstheme="minorHAnsi"/>
          <w:sz w:val="20"/>
          <w:szCs w:val="20"/>
        </w:rPr>
        <w:t>. Punktowanie nastąpi wg zasad:</w:t>
      </w:r>
    </w:p>
    <w:p w:rsidR="00716F90" w:rsidRPr="00716F90" w:rsidRDefault="00716F90" w:rsidP="00482EDE">
      <w:pPr>
        <w:pStyle w:val="Akapitzlist"/>
        <w:numPr>
          <w:ilvl w:val="0"/>
          <w:numId w:val="7"/>
        </w:numPr>
        <w:tabs>
          <w:tab w:val="left" w:pos="142"/>
          <w:tab w:val="left" w:pos="1134"/>
        </w:tabs>
        <w:autoSpaceDE w:val="0"/>
        <w:autoSpaceDN w:val="0"/>
        <w:adjustRightInd w:val="0"/>
        <w:spacing w:after="0" w:line="240" w:lineRule="auto"/>
        <w:ind w:left="1134" w:hanging="425"/>
        <w:rPr>
          <w:rFonts w:cstheme="minorBidi"/>
          <w:color w:val="000000"/>
          <w:sz w:val="20"/>
          <w:szCs w:val="20"/>
        </w:rPr>
      </w:pPr>
      <w:r w:rsidRPr="00716F90">
        <w:rPr>
          <w:rFonts w:cstheme="minorHAnsi"/>
          <w:sz w:val="20"/>
          <w:szCs w:val="20"/>
        </w:rPr>
        <w:t>zaoferowanie parametru „</w:t>
      </w:r>
      <w:r w:rsidR="00BD58F9">
        <w:rPr>
          <w:rFonts w:cstheme="minorHAnsi"/>
          <w:color w:val="000000"/>
          <w:sz w:val="20"/>
          <w:szCs w:val="20"/>
        </w:rPr>
        <w:t>wymiary urządzenia</w:t>
      </w:r>
      <w:r w:rsidRPr="00716F90">
        <w:rPr>
          <w:rFonts w:cstheme="minorHAnsi"/>
          <w:sz w:val="20"/>
          <w:szCs w:val="20"/>
        </w:rPr>
        <w:t>” na poziomie minimalnych wymagań tj.: „</w:t>
      </w:r>
      <w:r w:rsidR="00BD58F9" w:rsidRPr="00915365">
        <w:rPr>
          <w:rFonts w:asciiTheme="majorHAnsi" w:hAnsiTheme="majorHAnsi" w:cstheme="majorHAnsi"/>
          <w:iCs/>
          <w:color w:val="000000"/>
          <w:sz w:val="20"/>
          <w:szCs w:val="20"/>
        </w:rPr>
        <w:t>Wymiary urządzenia 17cmx12 cm</w:t>
      </w:r>
      <w:r w:rsidRPr="00716F90">
        <w:rPr>
          <w:color w:val="000000"/>
          <w:sz w:val="20"/>
          <w:szCs w:val="20"/>
        </w:rPr>
        <w:t xml:space="preserve">” </w:t>
      </w:r>
      <w:r w:rsidRPr="00716F90">
        <w:rPr>
          <w:rFonts w:cstheme="minorHAnsi"/>
          <w:sz w:val="20"/>
          <w:szCs w:val="20"/>
        </w:rPr>
        <w:t xml:space="preserve"> - oferta otrzymuje </w:t>
      </w:r>
      <w:r w:rsidRPr="00716F90">
        <w:rPr>
          <w:rFonts w:cstheme="minorHAnsi"/>
          <w:b/>
          <w:sz w:val="20"/>
          <w:szCs w:val="20"/>
        </w:rPr>
        <w:t>0</w:t>
      </w:r>
      <w:r w:rsidRPr="00716F90">
        <w:rPr>
          <w:rFonts w:cstheme="minorHAnsi"/>
          <w:sz w:val="20"/>
          <w:szCs w:val="20"/>
        </w:rPr>
        <w:t xml:space="preserve"> pkt, lub</w:t>
      </w:r>
    </w:p>
    <w:p w:rsidR="00716F90" w:rsidRPr="00716F90" w:rsidRDefault="00716F90" w:rsidP="00482EDE">
      <w:pPr>
        <w:pStyle w:val="Akapitzlist"/>
        <w:numPr>
          <w:ilvl w:val="0"/>
          <w:numId w:val="7"/>
        </w:numPr>
        <w:tabs>
          <w:tab w:val="left" w:pos="142"/>
          <w:tab w:val="left" w:pos="1134"/>
        </w:tabs>
        <w:autoSpaceDE w:val="0"/>
        <w:autoSpaceDN w:val="0"/>
        <w:adjustRightInd w:val="0"/>
        <w:spacing w:after="0" w:line="259" w:lineRule="auto"/>
        <w:ind w:left="1134" w:hanging="425"/>
        <w:jc w:val="both"/>
        <w:rPr>
          <w:rFonts w:asciiTheme="minorHAnsi" w:hAnsiTheme="minorHAnsi" w:cstheme="minorHAnsi"/>
          <w:color w:val="000000"/>
          <w:sz w:val="20"/>
          <w:szCs w:val="20"/>
        </w:rPr>
      </w:pPr>
      <w:r>
        <w:rPr>
          <w:color w:val="000000"/>
          <w:sz w:val="20"/>
          <w:szCs w:val="20"/>
        </w:rPr>
        <w:t xml:space="preserve">zaoferowanie parametru </w:t>
      </w:r>
      <w:r>
        <w:rPr>
          <w:rFonts w:asciiTheme="minorHAnsi" w:hAnsiTheme="minorHAnsi" w:cstheme="minorHAnsi"/>
          <w:sz w:val="20"/>
          <w:szCs w:val="20"/>
        </w:rPr>
        <w:t>„</w:t>
      </w:r>
      <w:r w:rsidR="00BD58F9">
        <w:rPr>
          <w:rFonts w:cstheme="minorHAnsi"/>
          <w:color w:val="000000"/>
          <w:sz w:val="20"/>
          <w:szCs w:val="20"/>
        </w:rPr>
        <w:t>wymiary urządzenia</w:t>
      </w:r>
      <w:r>
        <w:rPr>
          <w:rFonts w:asciiTheme="minorHAnsi" w:hAnsiTheme="minorHAnsi" w:cstheme="minorHAnsi"/>
          <w:sz w:val="20"/>
          <w:szCs w:val="20"/>
        </w:rPr>
        <w:t>” na poziomie lepszym</w:t>
      </w:r>
      <w:r w:rsidR="00BD58F9">
        <w:rPr>
          <w:rFonts w:asciiTheme="minorHAnsi" w:hAnsiTheme="minorHAnsi" w:cstheme="minorHAnsi"/>
          <w:sz w:val="20"/>
          <w:szCs w:val="20"/>
        </w:rPr>
        <w:t xml:space="preserve"> (mniejsze wymiary)</w:t>
      </w:r>
      <w:r>
        <w:rPr>
          <w:rFonts w:asciiTheme="minorHAnsi" w:hAnsiTheme="minorHAnsi" w:cstheme="minorHAnsi"/>
          <w:sz w:val="20"/>
          <w:szCs w:val="20"/>
        </w:rPr>
        <w:t xml:space="preserve"> niż minimalne wymagania -</w:t>
      </w:r>
      <w:r w:rsidRPr="00F4156C">
        <w:rPr>
          <w:rFonts w:asciiTheme="minorHAnsi" w:hAnsiTheme="minorHAnsi" w:cstheme="minorHAnsi"/>
          <w:sz w:val="20"/>
          <w:szCs w:val="20"/>
        </w:rPr>
        <w:t xml:space="preserve"> </w:t>
      </w:r>
      <w:r w:rsidRPr="00413A72">
        <w:rPr>
          <w:rFonts w:asciiTheme="minorHAnsi" w:hAnsiTheme="minorHAnsi" w:cstheme="minorHAnsi"/>
          <w:sz w:val="20"/>
          <w:szCs w:val="20"/>
        </w:rPr>
        <w:t xml:space="preserve">oferta otrzymuje </w:t>
      </w:r>
      <w:r w:rsidRPr="00413A72">
        <w:rPr>
          <w:rFonts w:asciiTheme="minorHAnsi" w:hAnsiTheme="minorHAnsi" w:cstheme="minorHAnsi"/>
          <w:b/>
          <w:sz w:val="20"/>
          <w:szCs w:val="20"/>
        </w:rPr>
        <w:t>10</w:t>
      </w:r>
      <w:r w:rsidRPr="00413A72">
        <w:rPr>
          <w:rFonts w:asciiTheme="minorHAnsi" w:hAnsiTheme="minorHAnsi" w:cstheme="minorHAnsi"/>
          <w:sz w:val="20"/>
          <w:szCs w:val="20"/>
        </w:rPr>
        <w:t xml:space="preserve"> pkt</w:t>
      </w:r>
    </w:p>
    <w:p w:rsidR="00F4156C" w:rsidRPr="00413A72" w:rsidRDefault="00F4156C" w:rsidP="00482EDE">
      <w:pPr>
        <w:tabs>
          <w:tab w:val="left" w:pos="142"/>
        </w:tabs>
        <w:ind w:left="1276" w:hanging="567"/>
        <w:jc w:val="both"/>
        <w:rPr>
          <w:rFonts w:cstheme="minorHAnsi"/>
          <w:b/>
          <w:sz w:val="20"/>
          <w:szCs w:val="20"/>
        </w:rPr>
      </w:pPr>
      <w:r w:rsidRPr="00413A72">
        <w:rPr>
          <w:rFonts w:cstheme="minorHAnsi"/>
          <w:b/>
          <w:sz w:val="20"/>
          <w:szCs w:val="20"/>
        </w:rPr>
        <w:t>Ocena oferty rozpatrywanej = punkty otrzymane</w:t>
      </w:r>
    </w:p>
    <w:p w:rsidR="00270D3B" w:rsidRPr="00413A72" w:rsidRDefault="00270D3B" w:rsidP="00482EDE">
      <w:pPr>
        <w:numPr>
          <w:ilvl w:val="0"/>
          <w:numId w:val="6"/>
        </w:numPr>
        <w:tabs>
          <w:tab w:val="clear" w:pos="1107"/>
          <w:tab w:val="left" w:pos="142"/>
        </w:tabs>
        <w:spacing w:after="0"/>
        <w:ind w:left="709" w:hanging="425"/>
        <w:jc w:val="both"/>
        <w:rPr>
          <w:rFonts w:cstheme="minorHAnsi"/>
          <w:sz w:val="20"/>
          <w:szCs w:val="20"/>
        </w:rPr>
      </w:pPr>
      <w:r w:rsidRPr="00413A72">
        <w:rPr>
          <w:rFonts w:cstheme="minorHAnsi"/>
          <w:sz w:val="20"/>
          <w:szCs w:val="20"/>
        </w:rPr>
        <w:t>Kryterium</w:t>
      </w:r>
      <w:r>
        <w:rPr>
          <w:rFonts w:cstheme="minorHAnsi"/>
          <w:sz w:val="20"/>
          <w:szCs w:val="20"/>
        </w:rPr>
        <w:t xml:space="preserve"> </w:t>
      </w:r>
      <w:r w:rsidR="00E42F04" w:rsidRPr="00E42F04">
        <w:rPr>
          <w:rFonts w:eastAsia="Calibri" w:cstheme="minorHAnsi"/>
          <w:b/>
          <w:color w:val="000000"/>
          <w:sz w:val="20"/>
          <w:szCs w:val="20"/>
        </w:rPr>
        <w:t>precyzja pomiaru absorbancji</w:t>
      </w:r>
      <w:r w:rsidR="00E42F04" w:rsidRPr="00413A72">
        <w:rPr>
          <w:rFonts w:cstheme="minorHAnsi"/>
          <w:sz w:val="20"/>
          <w:szCs w:val="20"/>
        </w:rPr>
        <w:t xml:space="preserve"> </w:t>
      </w:r>
      <w:r w:rsidRPr="00413A72">
        <w:rPr>
          <w:rFonts w:cstheme="minorHAnsi"/>
          <w:sz w:val="20"/>
          <w:szCs w:val="20"/>
        </w:rPr>
        <w:t xml:space="preserve">– w </w:t>
      </w:r>
      <w:r>
        <w:rPr>
          <w:rFonts w:cstheme="minorHAnsi"/>
          <w:sz w:val="20"/>
          <w:szCs w:val="20"/>
        </w:rPr>
        <w:t>zakresie tego kryterium oceniany</w:t>
      </w:r>
      <w:r w:rsidRPr="00413A72">
        <w:rPr>
          <w:rFonts w:cstheme="minorHAnsi"/>
          <w:sz w:val="20"/>
          <w:szCs w:val="20"/>
        </w:rPr>
        <w:t xml:space="preserve"> będzie </w:t>
      </w:r>
      <w:r>
        <w:rPr>
          <w:rFonts w:cstheme="minorHAnsi"/>
          <w:sz w:val="20"/>
          <w:szCs w:val="20"/>
        </w:rPr>
        <w:t>parametr zaoferowany przez Wykonawcę</w:t>
      </w:r>
      <w:r w:rsidRPr="00413A72">
        <w:rPr>
          <w:rFonts w:cstheme="minorHAnsi"/>
          <w:sz w:val="20"/>
          <w:szCs w:val="20"/>
        </w:rPr>
        <w:t>. Punktowanie nastąpi wg zasad:</w:t>
      </w:r>
    </w:p>
    <w:p w:rsidR="00270D3B" w:rsidRPr="00F4156C" w:rsidRDefault="00270D3B" w:rsidP="00482EDE">
      <w:pPr>
        <w:pStyle w:val="Akapitzlist"/>
        <w:numPr>
          <w:ilvl w:val="0"/>
          <w:numId w:val="7"/>
        </w:numPr>
        <w:tabs>
          <w:tab w:val="left" w:pos="142"/>
        </w:tabs>
        <w:autoSpaceDE w:val="0"/>
        <w:autoSpaceDN w:val="0"/>
        <w:adjustRightInd w:val="0"/>
        <w:spacing w:after="0" w:line="240" w:lineRule="auto"/>
        <w:ind w:left="1134" w:hanging="425"/>
        <w:rPr>
          <w:color w:val="000000"/>
          <w:sz w:val="20"/>
          <w:szCs w:val="20"/>
        </w:rPr>
      </w:pPr>
      <w:r>
        <w:rPr>
          <w:rFonts w:asciiTheme="minorHAnsi" w:hAnsiTheme="minorHAnsi" w:cstheme="minorHAnsi"/>
          <w:sz w:val="20"/>
          <w:szCs w:val="20"/>
        </w:rPr>
        <w:t>z</w:t>
      </w:r>
      <w:r w:rsidRPr="00413A72">
        <w:rPr>
          <w:rFonts w:asciiTheme="minorHAnsi" w:hAnsiTheme="minorHAnsi" w:cstheme="minorHAnsi"/>
          <w:sz w:val="20"/>
          <w:szCs w:val="20"/>
        </w:rPr>
        <w:t>aoferowanie</w:t>
      </w:r>
      <w:r>
        <w:rPr>
          <w:rFonts w:asciiTheme="minorHAnsi" w:hAnsiTheme="minorHAnsi" w:cstheme="minorHAnsi"/>
          <w:sz w:val="20"/>
          <w:szCs w:val="20"/>
        </w:rPr>
        <w:t xml:space="preserve"> parametru „</w:t>
      </w:r>
      <w:r w:rsidR="00E42F04" w:rsidRPr="00E42F04">
        <w:rPr>
          <w:rFonts w:asciiTheme="minorHAnsi" w:hAnsiTheme="minorHAnsi" w:cstheme="minorHAnsi"/>
          <w:color w:val="000000"/>
          <w:sz w:val="20"/>
          <w:szCs w:val="20"/>
        </w:rPr>
        <w:t>precyzja pomiaru absorbancji</w:t>
      </w:r>
      <w:r>
        <w:rPr>
          <w:rFonts w:asciiTheme="minorHAnsi" w:hAnsiTheme="minorHAnsi" w:cstheme="minorHAnsi"/>
          <w:sz w:val="20"/>
          <w:szCs w:val="20"/>
        </w:rPr>
        <w:t>” na poziomie minimalnych wymagań tj.: „</w:t>
      </w:r>
      <w:r w:rsidR="00E42F04" w:rsidRPr="006230BF">
        <w:rPr>
          <w:color w:val="000000"/>
          <w:sz w:val="20"/>
          <w:szCs w:val="20"/>
        </w:rPr>
        <w:t>0,002A</w:t>
      </w:r>
      <w:r>
        <w:rPr>
          <w:color w:val="000000"/>
          <w:sz w:val="20"/>
          <w:szCs w:val="20"/>
        </w:rPr>
        <w:t>”</w:t>
      </w:r>
      <w:r w:rsidRPr="00F4156C">
        <w:rPr>
          <w:rFonts w:asciiTheme="minorHAnsi" w:hAnsiTheme="minorHAnsi" w:cstheme="minorHAnsi"/>
          <w:sz w:val="20"/>
          <w:szCs w:val="20"/>
        </w:rPr>
        <w:t xml:space="preserve"> - oferta otrzymuje </w:t>
      </w:r>
      <w:r w:rsidRPr="00F4156C">
        <w:rPr>
          <w:rFonts w:asciiTheme="minorHAnsi" w:hAnsiTheme="minorHAnsi" w:cstheme="minorHAnsi"/>
          <w:b/>
          <w:sz w:val="20"/>
          <w:szCs w:val="20"/>
        </w:rPr>
        <w:t>0</w:t>
      </w:r>
      <w:r w:rsidRPr="00F4156C">
        <w:rPr>
          <w:rFonts w:asciiTheme="minorHAnsi" w:hAnsiTheme="minorHAnsi" w:cstheme="minorHAnsi"/>
          <w:sz w:val="20"/>
          <w:szCs w:val="20"/>
        </w:rPr>
        <w:t xml:space="preserve"> pkt, lub</w:t>
      </w:r>
    </w:p>
    <w:p w:rsidR="00270D3B" w:rsidRPr="00F4156C" w:rsidRDefault="00270D3B" w:rsidP="00482EDE">
      <w:pPr>
        <w:pStyle w:val="Akapitzlist"/>
        <w:numPr>
          <w:ilvl w:val="0"/>
          <w:numId w:val="7"/>
        </w:numPr>
        <w:tabs>
          <w:tab w:val="left" w:pos="142"/>
        </w:tabs>
        <w:autoSpaceDE w:val="0"/>
        <w:autoSpaceDN w:val="0"/>
        <w:adjustRightInd w:val="0"/>
        <w:spacing w:after="0" w:line="259" w:lineRule="auto"/>
        <w:ind w:left="1134" w:hanging="425"/>
        <w:jc w:val="both"/>
        <w:rPr>
          <w:rFonts w:asciiTheme="minorHAnsi" w:hAnsiTheme="minorHAnsi" w:cstheme="minorHAnsi"/>
          <w:color w:val="000000"/>
          <w:sz w:val="20"/>
          <w:szCs w:val="20"/>
        </w:rPr>
      </w:pPr>
      <w:r>
        <w:rPr>
          <w:color w:val="000000"/>
          <w:sz w:val="20"/>
          <w:szCs w:val="20"/>
        </w:rPr>
        <w:t xml:space="preserve">zaoferowanie parametru </w:t>
      </w:r>
      <w:r>
        <w:rPr>
          <w:rFonts w:asciiTheme="minorHAnsi" w:hAnsiTheme="minorHAnsi" w:cstheme="minorHAnsi"/>
          <w:sz w:val="20"/>
          <w:szCs w:val="20"/>
        </w:rPr>
        <w:t>„</w:t>
      </w:r>
      <w:r w:rsidR="00E42F04" w:rsidRPr="00E42F04">
        <w:rPr>
          <w:rFonts w:asciiTheme="minorHAnsi" w:hAnsiTheme="minorHAnsi" w:cstheme="minorHAnsi"/>
          <w:color w:val="000000"/>
          <w:sz w:val="20"/>
          <w:szCs w:val="20"/>
        </w:rPr>
        <w:t>precyzja pomiaru absorbancji</w:t>
      </w:r>
      <w:r w:rsidR="00E42F04">
        <w:rPr>
          <w:rFonts w:asciiTheme="minorHAnsi" w:hAnsiTheme="minorHAnsi" w:cstheme="minorHAnsi"/>
          <w:sz w:val="20"/>
          <w:szCs w:val="20"/>
        </w:rPr>
        <w:t xml:space="preserve">” </w:t>
      </w:r>
      <w:r>
        <w:rPr>
          <w:rFonts w:asciiTheme="minorHAnsi" w:hAnsiTheme="minorHAnsi" w:cstheme="minorHAnsi"/>
          <w:sz w:val="20"/>
          <w:szCs w:val="20"/>
        </w:rPr>
        <w:t>na poziomie lepszym niż minimalne wymagania</w:t>
      </w:r>
      <w:r w:rsidR="00BD58F9">
        <w:rPr>
          <w:rFonts w:asciiTheme="minorHAnsi" w:hAnsiTheme="minorHAnsi" w:cstheme="minorHAnsi"/>
          <w:sz w:val="20"/>
          <w:szCs w:val="20"/>
        </w:rPr>
        <w:t xml:space="preserve"> (lepsza precyzja pomiaru)</w:t>
      </w:r>
      <w:r>
        <w:rPr>
          <w:rFonts w:asciiTheme="minorHAnsi" w:hAnsiTheme="minorHAnsi" w:cstheme="minorHAnsi"/>
          <w:sz w:val="20"/>
          <w:szCs w:val="20"/>
        </w:rPr>
        <w:t xml:space="preserve"> -</w:t>
      </w:r>
      <w:r w:rsidRPr="00F4156C">
        <w:rPr>
          <w:rFonts w:asciiTheme="minorHAnsi" w:hAnsiTheme="minorHAnsi" w:cstheme="minorHAnsi"/>
          <w:sz w:val="20"/>
          <w:szCs w:val="20"/>
        </w:rPr>
        <w:t xml:space="preserve"> </w:t>
      </w:r>
      <w:r w:rsidRPr="00413A72">
        <w:rPr>
          <w:rFonts w:asciiTheme="minorHAnsi" w:hAnsiTheme="minorHAnsi" w:cstheme="minorHAnsi"/>
          <w:sz w:val="20"/>
          <w:szCs w:val="20"/>
        </w:rPr>
        <w:t xml:space="preserve">oferta otrzymuje </w:t>
      </w:r>
      <w:r w:rsidRPr="00413A72">
        <w:rPr>
          <w:rFonts w:asciiTheme="minorHAnsi" w:hAnsiTheme="minorHAnsi" w:cstheme="minorHAnsi"/>
          <w:b/>
          <w:sz w:val="20"/>
          <w:szCs w:val="20"/>
        </w:rPr>
        <w:t>10</w:t>
      </w:r>
      <w:r w:rsidRPr="00413A72">
        <w:rPr>
          <w:rFonts w:asciiTheme="minorHAnsi" w:hAnsiTheme="minorHAnsi" w:cstheme="minorHAnsi"/>
          <w:sz w:val="20"/>
          <w:szCs w:val="20"/>
        </w:rPr>
        <w:t xml:space="preserve"> pkt</w:t>
      </w:r>
    </w:p>
    <w:p w:rsidR="00270D3B" w:rsidRPr="00413A72" w:rsidRDefault="00270D3B" w:rsidP="00482EDE">
      <w:pPr>
        <w:tabs>
          <w:tab w:val="left" w:pos="142"/>
        </w:tabs>
        <w:ind w:left="1134" w:hanging="425"/>
        <w:jc w:val="both"/>
        <w:rPr>
          <w:rFonts w:cstheme="minorHAnsi"/>
          <w:b/>
          <w:sz w:val="20"/>
          <w:szCs w:val="20"/>
        </w:rPr>
      </w:pPr>
      <w:r w:rsidRPr="00413A72">
        <w:rPr>
          <w:rFonts w:cstheme="minorHAnsi"/>
          <w:b/>
          <w:sz w:val="20"/>
          <w:szCs w:val="20"/>
        </w:rPr>
        <w:t>Ocena oferty rozpatrywanej = punkty otrzymane</w:t>
      </w:r>
    </w:p>
    <w:p w:rsidR="00413A72" w:rsidRPr="00413A72" w:rsidRDefault="00413A72" w:rsidP="00413A72">
      <w:pPr>
        <w:pStyle w:val="Akapitzlist"/>
        <w:numPr>
          <w:ilvl w:val="0"/>
          <w:numId w:val="10"/>
        </w:numPr>
        <w:tabs>
          <w:tab w:val="left" w:pos="426"/>
        </w:tabs>
        <w:spacing w:after="0" w:line="259" w:lineRule="auto"/>
        <w:ind w:left="284" w:hanging="284"/>
        <w:jc w:val="both"/>
        <w:rPr>
          <w:rFonts w:asciiTheme="minorHAnsi" w:hAnsiTheme="minorHAnsi" w:cstheme="minorHAnsi"/>
          <w:sz w:val="20"/>
          <w:szCs w:val="20"/>
        </w:rPr>
      </w:pPr>
      <w:r w:rsidRPr="00413A72">
        <w:rPr>
          <w:rFonts w:asciiTheme="minorHAnsi" w:hAnsiTheme="minorHAnsi" w:cstheme="minorHAnsi"/>
          <w:sz w:val="20"/>
          <w:szCs w:val="20"/>
        </w:rPr>
        <w:t xml:space="preserve">Za ofertę najkorzystniejszą uznana zostanie oferta, która uzyska najwyższą liczbę punktów po zsumowaniu w poszczególnych kryteriach (Cena + </w:t>
      </w:r>
      <w:r w:rsidR="00BD58F9">
        <w:rPr>
          <w:rFonts w:asciiTheme="minorHAnsi" w:hAnsiTheme="minorHAnsi" w:cstheme="minorHAnsi"/>
          <w:sz w:val="20"/>
          <w:szCs w:val="20"/>
        </w:rPr>
        <w:t>Zakres stężenia BSA</w:t>
      </w:r>
      <w:r w:rsidRPr="00413A72">
        <w:rPr>
          <w:rFonts w:asciiTheme="minorHAnsi" w:hAnsiTheme="minorHAnsi" w:cstheme="minorHAnsi"/>
          <w:sz w:val="20"/>
          <w:szCs w:val="20"/>
        </w:rPr>
        <w:t xml:space="preserve"> + </w:t>
      </w:r>
      <w:r w:rsidR="00BD58F9">
        <w:rPr>
          <w:rFonts w:asciiTheme="minorHAnsi" w:hAnsiTheme="minorHAnsi" w:cstheme="minorHAnsi"/>
          <w:sz w:val="20"/>
          <w:szCs w:val="20"/>
        </w:rPr>
        <w:t>Wymiary urządzenia</w:t>
      </w:r>
      <w:r w:rsidRPr="00413A72">
        <w:rPr>
          <w:rFonts w:asciiTheme="minorHAnsi" w:hAnsiTheme="minorHAnsi" w:cstheme="minorHAnsi"/>
          <w:sz w:val="20"/>
          <w:szCs w:val="20"/>
        </w:rPr>
        <w:t xml:space="preserve"> + </w:t>
      </w:r>
      <w:r w:rsidR="00BD58F9">
        <w:rPr>
          <w:rFonts w:asciiTheme="minorHAnsi" w:hAnsiTheme="minorHAnsi" w:cstheme="minorHAnsi"/>
          <w:sz w:val="20"/>
          <w:szCs w:val="20"/>
        </w:rPr>
        <w:t xml:space="preserve">precyzja pomiaru </w:t>
      </w:r>
      <w:proofErr w:type="spellStart"/>
      <w:r w:rsidR="00BD58F9">
        <w:rPr>
          <w:rFonts w:asciiTheme="minorHAnsi" w:hAnsiTheme="minorHAnsi" w:cstheme="minorHAnsi"/>
          <w:sz w:val="20"/>
          <w:szCs w:val="20"/>
        </w:rPr>
        <w:t>absorbnancji</w:t>
      </w:r>
      <w:proofErr w:type="spellEnd"/>
      <w:r w:rsidRPr="00413A72">
        <w:rPr>
          <w:rFonts w:asciiTheme="minorHAnsi" w:hAnsiTheme="minorHAnsi" w:cstheme="minorHAnsi"/>
          <w:sz w:val="20"/>
          <w:szCs w:val="20"/>
        </w:rPr>
        <w:t>), pozostałe oferty zostaną sklasyfikowane zgodnie z ilością uzyskanych punktów.</w:t>
      </w:r>
    </w:p>
    <w:p w:rsidR="006230BF" w:rsidRPr="00413A72" w:rsidRDefault="006230BF" w:rsidP="002329A0">
      <w:pPr>
        <w:autoSpaceDE w:val="0"/>
        <w:autoSpaceDN w:val="0"/>
        <w:adjustRightInd w:val="0"/>
        <w:spacing w:after="0" w:line="240" w:lineRule="auto"/>
        <w:jc w:val="both"/>
        <w:rPr>
          <w:rFonts w:cstheme="minorHAnsi"/>
          <w:b/>
          <w:bCs/>
          <w:sz w:val="20"/>
          <w:szCs w:val="20"/>
        </w:rPr>
      </w:pPr>
    </w:p>
    <w:p w:rsidR="00092BB7" w:rsidRPr="00413A72" w:rsidRDefault="006230BF" w:rsidP="001C1619">
      <w:pPr>
        <w:autoSpaceDE w:val="0"/>
        <w:autoSpaceDN w:val="0"/>
        <w:adjustRightInd w:val="0"/>
        <w:spacing w:after="0" w:line="240" w:lineRule="auto"/>
        <w:jc w:val="both"/>
        <w:rPr>
          <w:rFonts w:cstheme="minorHAnsi"/>
          <w:b/>
          <w:bCs/>
          <w:sz w:val="20"/>
          <w:szCs w:val="20"/>
        </w:rPr>
      </w:pPr>
      <w:r w:rsidRPr="00413A72">
        <w:rPr>
          <w:rFonts w:cstheme="minorHAnsi"/>
          <w:b/>
          <w:bCs/>
          <w:sz w:val="20"/>
          <w:szCs w:val="20"/>
        </w:rPr>
        <w:t>III</w:t>
      </w:r>
      <w:r w:rsidR="00092BB7" w:rsidRPr="00413A72">
        <w:rPr>
          <w:rFonts w:cstheme="minorHAnsi"/>
          <w:b/>
          <w:bCs/>
          <w:sz w:val="20"/>
          <w:szCs w:val="20"/>
        </w:rPr>
        <w:t xml:space="preserve"> Opis  Przygotowania Oferty i jej Ocena:</w:t>
      </w:r>
    </w:p>
    <w:p w:rsidR="00092BB7" w:rsidRPr="00413A72" w:rsidRDefault="00092BB7" w:rsidP="001C1619">
      <w:pPr>
        <w:numPr>
          <w:ilvl w:val="0"/>
          <w:numId w:val="1"/>
        </w:numPr>
        <w:autoSpaceDE w:val="0"/>
        <w:autoSpaceDN w:val="0"/>
        <w:adjustRightInd w:val="0"/>
        <w:spacing w:after="0" w:line="240" w:lineRule="auto"/>
        <w:ind w:right="545"/>
        <w:jc w:val="both"/>
        <w:rPr>
          <w:rFonts w:cstheme="minorHAnsi"/>
          <w:sz w:val="20"/>
          <w:szCs w:val="20"/>
        </w:rPr>
      </w:pPr>
      <w:r w:rsidRPr="00413A72">
        <w:rPr>
          <w:rFonts w:cstheme="minorHAnsi"/>
          <w:sz w:val="20"/>
          <w:szCs w:val="20"/>
        </w:rPr>
        <w:t>Oferta powinna zostać przygotowana na wzorze nr 1 załączonym do Zapytania.</w:t>
      </w:r>
    </w:p>
    <w:p w:rsidR="00092BB7" w:rsidRPr="00BD58F9" w:rsidRDefault="00092BB7" w:rsidP="001C1619">
      <w:pPr>
        <w:numPr>
          <w:ilvl w:val="0"/>
          <w:numId w:val="1"/>
        </w:numPr>
        <w:autoSpaceDE w:val="0"/>
        <w:autoSpaceDN w:val="0"/>
        <w:adjustRightInd w:val="0"/>
        <w:spacing w:after="0" w:line="240" w:lineRule="auto"/>
        <w:ind w:right="545"/>
        <w:jc w:val="both"/>
        <w:rPr>
          <w:rStyle w:val="Hipercze"/>
          <w:rFonts w:cstheme="minorHAnsi"/>
          <w:i/>
          <w:color w:val="000000"/>
          <w:sz w:val="20"/>
          <w:szCs w:val="20"/>
          <w:u w:val="none"/>
        </w:rPr>
      </w:pPr>
      <w:r w:rsidRPr="00413A72">
        <w:rPr>
          <w:rFonts w:cstheme="minorHAnsi"/>
          <w:color w:val="000000"/>
          <w:sz w:val="20"/>
          <w:szCs w:val="20"/>
        </w:rPr>
        <w:t>Oferty należy przesyłać elektronicznie w postaci zeskanowanej oferty oryginalnej pocztą elektroniczną na adres</w:t>
      </w:r>
      <w:r w:rsidRPr="00BD58F9">
        <w:rPr>
          <w:rFonts w:cstheme="minorHAnsi"/>
          <w:color w:val="000000"/>
          <w:sz w:val="20"/>
          <w:szCs w:val="20"/>
        </w:rPr>
        <w:t xml:space="preserve">: </w:t>
      </w:r>
      <w:hyperlink r:id="rId7" w:history="1">
        <w:r w:rsidR="00BD58F9" w:rsidRPr="00F66975">
          <w:rPr>
            <w:rStyle w:val="Hipercze"/>
            <w:sz w:val="20"/>
            <w:szCs w:val="20"/>
          </w:rPr>
          <w:t>z.zielinski</w:t>
        </w:r>
        <w:r w:rsidR="00BD58F9" w:rsidRPr="00F66975">
          <w:rPr>
            <w:rStyle w:val="Hipercze"/>
            <w:rFonts w:cstheme="minorHAnsi"/>
            <w:sz w:val="20"/>
            <w:szCs w:val="20"/>
          </w:rPr>
          <w:t>@nencki.gov.pl</w:t>
        </w:r>
      </w:hyperlink>
    </w:p>
    <w:p w:rsidR="00092BB7" w:rsidRPr="00BD58F9" w:rsidRDefault="00092BB7" w:rsidP="00BD58F9">
      <w:pPr>
        <w:numPr>
          <w:ilvl w:val="0"/>
          <w:numId w:val="1"/>
        </w:numPr>
        <w:autoSpaceDE w:val="0"/>
        <w:autoSpaceDN w:val="0"/>
        <w:adjustRightInd w:val="0"/>
        <w:spacing w:after="0" w:line="240" w:lineRule="auto"/>
        <w:ind w:right="545"/>
        <w:jc w:val="both"/>
        <w:rPr>
          <w:rFonts w:cstheme="minorHAnsi"/>
          <w:i/>
          <w:color w:val="000000"/>
          <w:sz w:val="20"/>
          <w:szCs w:val="20"/>
        </w:rPr>
      </w:pPr>
      <w:r w:rsidRPr="00BD58F9">
        <w:rPr>
          <w:rFonts w:cstheme="minorHAnsi"/>
          <w:color w:val="000000"/>
          <w:sz w:val="20"/>
          <w:szCs w:val="20"/>
        </w:rPr>
        <w:t xml:space="preserve">Prosimy oznaczyć ofertę w tytule wiadomości: </w:t>
      </w:r>
      <w:r w:rsidR="006230BF" w:rsidRPr="00BD58F9">
        <w:rPr>
          <w:rFonts w:cstheme="minorHAnsi"/>
          <w:b/>
          <w:bCs/>
          <w:sz w:val="20"/>
          <w:szCs w:val="20"/>
        </w:rPr>
        <w:t>Spektrofotometr</w:t>
      </w:r>
    </w:p>
    <w:p w:rsidR="00092BB7" w:rsidRPr="00413A72" w:rsidRDefault="00092BB7" w:rsidP="001C1619">
      <w:pPr>
        <w:numPr>
          <w:ilvl w:val="0"/>
          <w:numId w:val="1"/>
        </w:numPr>
        <w:autoSpaceDE w:val="0"/>
        <w:autoSpaceDN w:val="0"/>
        <w:adjustRightInd w:val="0"/>
        <w:spacing w:after="0" w:line="240" w:lineRule="auto"/>
        <w:ind w:right="545"/>
        <w:jc w:val="both"/>
        <w:rPr>
          <w:rFonts w:cstheme="minorHAnsi"/>
          <w:sz w:val="20"/>
          <w:szCs w:val="20"/>
        </w:rPr>
      </w:pPr>
      <w:r w:rsidRPr="00413A72">
        <w:rPr>
          <w:rFonts w:cstheme="minorHAnsi"/>
          <w:sz w:val="20"/>
          <w:szCs w:val="20"/>
        </w:rPr>
        <w:t>Ocenie poddane zostaną tylko te oferty, które zawierają wszystkie elementy wymienione powyżej</w:t>
      </w:r>
    </w:p>
    <w:p w:rsidR="001C1619" w:rsidRPr="00413A72" w:rsidRDefault="001C1619" w:rsidP="001C1619">
      <w:pPr>
        <w:autoSpaceDE w:val="0"/>
        <w:autoSpaceDN w:val="0"/>
        <w:adjustRightInd w:val="0"/>
        <w:spacing w:after="0" w:line="240" w:lineRule="auto"/>
        <w:ind w:right="545"/>
        <w:jc w:val="both"/>
        <w:rPr>
          <w:rFonts w:cstheme="minorHAnsi"/>
          <w:b/>
          <w:bCs/>
          <w:sz w:val="20"/>
          <w:szCs w:val="20"/>
        </w:rPr>
      </w:pPr>
    </w:p>
    <w:p w:rsidR="00092BB7" w:rsidRPr="00413A72" w:rsidRDefault="006230BF" w:rsidP="001C1619">
      <w:pPr>
        <w:autoSpaceDE w:val="0"/>
        <w:autoSpaceDN w:val="0"/>
        <w:adjustRightInd w:val="0"/>
        <w:spacing w:after="0" w:line="240" w:lineRule="auto"/>
        <w:ind w:right="545"/>
        <w:jc w:val="both"/>
        <w:rPr>
          <w:rFonts w:cstheme="minorHAnsi"/>
          <w:b/>
          <w:bCs/>
          <w:sz w:val="20"/>
          <w:szCs w:val="20"/>
        </w:rPr>
      </w:pPr>
      <w:r w:rsidRPr="00413A72">
        <w:rPr>
          <w:rFonts w:cstheme="minorHAnsi"/>
          <w:b/>
          <w:bCs/>
          <w:sz w:val="20"/>
          <w:szCs w:val="20"/>
        </w:rPr>
        <w:t>I</w:t>
      </w:r>
      <w:r w:rsidR="00092BB7" w:rsidRPr="00413A72">
        <w:rPr>
          <w:rFonts w:cstheme="minorHAnsi"/>
          <w:b/>
          <w:bCs/>
          <w:sz w:val="20"/>
          <w:szCs w:val="20"/>
        </w:rPr>
        <w:t>V Dodatkowe informacje:</w:t>
      </w:r>
    </w:p>
    <w:p w:rsidR="00092BB7" w:rsidRPr="00413A72" w:rsidRDefault="00092BB7" w:rsidP="001C1619">
      <w:pPr>
        <w:pStyle w:val="Akapitzlist"/>
        <w:numPr>
          <w:ilvl w:val="0"/>
          <w:numId w:val="2"/>
        </w:numPr>
        <w:tabs>
          <w:tab w:val="clear" w:pos="720"/>
          <w:tab w:val="num" w:pos="426"/>
        </w:tabs>
        <w:autoSpaceDE w:val="0"/>
        <w:autoSpaceDN w:val="0"/>
        <w:adjustRightInd w:val="0"/>
        <w:spacing w:after="0" w:line="240" w:lineRule="auto"/>
        <w:ind w:right="545" w:hanging="720"/>
        <w:jc w:val="both"/>
        <w:rPr>
          <w:rFonts w:asciiTheme="minorHAnsi" w:hAnsiTheme="minorHAnsi" w:cstheme="minorHAnsi"/>
          <w:sz w:val="20"/>
          <w:szCs w:val="20"/>
        </w:rPr>
      </w:pPr>
      <w:r w:rsidRPr="00413A72">
        <w:rPr>
          <w:rFonts w:asciiTheme="minorHAnsi" w:hAnsiTheme="minorHAnsi" w:cstheme="minorHAnsi"/>
          <w:sz w:val="20"/>
          <w:szCs w:val="20"/>
        </w:rPr>
        <w:t>W celu realizacji zamówienia z wybranym Wykonawcą zostanie podpisana umowa.</w:t>
      </w:r>
    </w:p>
    <w:p w:rsidR="00F831D6" w:rsidRDefault="00F831D6" w:rsidP="00F831D6">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sz w:val="20"/>
          <w:szCs w:val="20"/>
        </w:rPr>
      </w:pPr>
      <w:r w:rsidRPr="00413A72">
        <w:rPr>
          <w:rFonts w:cstheme="minorHAnsi"/>
          <w:sz w:val="20"/>
          <w:szCs w:val="20"/>
        </w:rPr>
        <w:t>Maksymalny termin realizacji zamówienia w ramach umowy</w:t>
      </w:r>
      <w:r w:rsidR="00BD58F9">
        <w:rPr>
          <w:rFonts w:cstheme="minorHAnsi"/>
          <w:sz w:val="20"/>
          <w:szCs w:val="20"/>
        </w:rPr>
        <w:t xml:space="preserve"> – 30 dni</w:t>
      </w:r>
      <w:r w:rsidRPr="00413A72">
        <w:rPr>
          <w:rFonts w:cstheme="minorHAnsi"/>
          <w:sz w:val="20"/>
          <w:szCs w:val="20"/>
        </w:rPr>
        <w:t xml:space="preserve"> (termin deklarowany do określenia w ofercie)</w:t>
      </w:r>
    </w:p>
    <w:p w:rsidR="00BD58F9" w:rsidRPr="00BD58F9" w:rsidRDefault="00BD58F9" w:rsidP="00F831D6">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sz w:val="20"/>
          <w:szCs w:val="20"/>
        </w:rPr>
      </w:pPr>
      <w:r w:rsidRPr="00BD58F9">
        <w:rPr>
          <w:rFonts w:cstheme="minorHAnsi"/>
          <w:iCs/>
          <w:color w:val="000000"/>
          <w:sz w:val="18"/>
          <w:szCs w:val="18"/>
        </w:rPr>
        <w:t xml:space="preserve">Gwarancja co najmniej 12 miesięcy, wsparcie serwisowe na terenie Polski, dostępność do części zamiennych co najmniej 7 lat  (okres gwarancji deklarowany w ofercie)   </w:t>
      </w:r>
    </w:p>
    <w:p w:rsidR="00092BB7" w:rsidRPr="00413A72" w:rsidRDefault="00092BB7" w:rsidP="001C1619">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sz w:val="20"/>
          <w:szCs w:val="20"/>
        </w:rPr>
      </w:pPr>
      <w:r w:rsidRPr="00413A72">
        <w:rPr>
          <w:rFonts w:cstheme="minorHAnsi"/>
          <w:sz w:val="20"/>
          <w:szCs w:val="20"/>
        </w:rPr>
        <w:t>Zamawiający zastrzega sobie możliwość negocjacji warunków umowy z najlepszymi Wykonawcami.</w:t>
      </w:r>
    </w:p>
    <w:p w:rsidR="00092BB7" w:rsidRPr="00413A72" w:rsidRDefault="00092BB7" w:rsidP="001C1619">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sz w:val="20"/>
          <w:szCs w:val="20"/>
        </w:rPr>
      </w:pPr>
      <w:r w:rsidRPr="00413A72">
        <w:rPr>
          <w:rFonts w:cstheme="minorHAnsi"/>
          <w:sz w:val="20"/>
          <w:szCs w:val="20"/>
        </w:rPr>
        <w:t>Zamawiający zastrzega sobie prawo do nie wybierania żadnego z Wykonawców.</w:t>
      </w:r>
    </w:p>
    <w:p w:rsidR="00092BB7" w:rsidRPr="00413A72" w:rsidRDefault="00092BB7" w:rsidP="0044133F">
      <w:pPr>
        <w:numPr>
          <w:ilvl w:val="0"/>
          <w:numId w:val="2"/>
        </w:numPr>
        <w:tabs>
          <w:tab w:val="clear" w:pos="720"/>
          <w:tab w:val="num" w:pos="426"/>
        </w:tabs>
        <w:autoSpaceDE w:val="0"/>
        <w:autoSpaceDN w:val="0"/>
        <w:adjustRightInd w:val="0"/>
        <w:spacing w:after="0" w:line="240" w:lineRule="auto"/>
        <w:ind w:left="426" w:right="545" w:hanging="426"/>
        <w:jc w:val="both"/>
        <w:rPr>
          <w:rFonts w:cstheme="minorHAnsi"/>
          <w:sz w:val="20"/>
          <w:szCs w:val="20"/>
        </w:rPr>
      </w:pPr>
      <w:r w:rsidRPr="0044133F">
        <w:rPr>
          <w:rFonts w:cstheme="minorHAnsi"/>
          <w:sz w:val="20"/>
          <w:szCs w:val="20"/>
        </w:rPr>
        <w:t>Wybór Wykonawcy zostanie ogłoszony na stronie www. Zamawiającego niezwłocznie po zakończeniu procedury.</w:t>
      </w:r>
    </w:p>
    <w:sectPr w:rsidR="00092BB7" w:rsidRPr="00413A72" w:rsidSect="00C55549">
      <w:pgSz w:w="11906" w:h="16838"/>
      <w:pgMar w:top="426"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0" w:usb1="09060000" w:usb2="00000010" w:usb3="00000000" w:csb0="00080000"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8.75pt;height:19.5pt;visibility:visible" o:bullet="t">
        <v:imagedata r:id="rId1" o:title=""/>
      </v:shape>
    </w:pict>
  </w:numPicBullet>
  <w:numPicBullet w:numPicBulletId="1">
    <w:pict>
      <v:shape id="_x0000_i1029" type="#_x0000_t75" style="width:18.75pt;height:18.75pt;visibility:visible" o:bullet="t">
        <v:imagedata r:id="rId2" o:title=""/>
      </v:shape>
    </w:pict>
  </w:numPicBullet>
  <w:abstractNum w:abstractNumId="0" w15:restartNumberingAfterBreak="0">
    <w:nsid w:val="052870E0"/>
    <w:multiLevelType w:val="hybridMultilevel"/>
    <w:tmpl w:val="4E14E944"/>
    <w:lvl w:ilvl="0" w:tplc="544A26DE">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5E1A24"/>
    <w:multiLevelType w:val="hybridMultilevel"/>
    <w:tmpl w:val="B2D8B3F2"/>
    <w:lvl w:ilvl="0" w:tplc="BC742AFC">
      <w:start w:val="1"/>
      <w:numFmt w:val="decimal"/>
      <w:lvlText w:val="%1."/>
      <w:lvlJc w:val="left"/>
      <w:pPr>
        <w:tabs>
          <w:tab w:val="num" w:pos="720"/>
        </w:tabs>
        <w:ind w:left="720" w:hanging="360"/>
      </w:pPr>
      <w:rPr>
        <w:rFonts w:ascii="Times New Roman" w:eastAsia="Times New Roman" w:hAnsi="Times New Roman" w:cs="Times New Roman"/>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 w15:restartNumberingAfterBreak="0">
    <w:nsid w:val="10554262"/>
    <w:multiLevelType w:val="hybridMultilevel"/>
    <w:tmpl w:val="39E42972"/>
    <w:lvl w:ilvl="0" w:tplc="0415000F">
      <w:start w:val="1"/>
      <w:numFmt w:val="decimal"/>
      <w:lvlText w:val="%1."/>
      <w:lvlJc w:val="left"/>
      <w:pPr>
        <w:ind w:left="360" w:hanging="360"/>
      </w:pPr>
      <w:rPr>
        <w:color w:val="auto"/>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 w15:restartNumberingAfterBreak="0">
    <w:nsid w:val="128A67B5"/>
    <w:multiLevelType w:val="hybridMultilevel"/>
    <w:tmpl w:val="98300042"/>
    <w:lvl w:ilvl="0" w:tplc="0415000D">
      <w:start w:val="1"/>
      <w:numFmt w:val="bullet"/>
      <w:lvlText w:val=""/>
      <w:lvlJc w:val="left"/>
      <w:pPr>
        <w:tabs>
          <w:tab w:val="num" w:pos="1004"/>
        </w:tabs>
        <w:ind w:left="1004" w:hanging="360"/>
      </w:pPr>
      <w:rPr>
        <w:rFonts w:ascii="Wingdings" w:hAnsi="Wingdings" w:hint="default"/>
      </w:rPr>
    </w:lvl>
    <w:lvl w:ilvl="1" w:tplc="04150003">
      <w:start w:val="1"/>
      <w:numFmt w:val="bullet"/>
      <w:lvlText w:val="o"/>
      <w:lvlJc w:val="left"/>
      <w:pPr>
        <w:tabs>
          <w:tab w:val="num" w:pos="1724"/>
        </w:tabs>
        <w:ind w:left="1724" w:hanging="360"/>
      </w:pPr>
      <w:rPr>
        <w:rFonts w:ascii="Courier New" w:hAnsi="Courier New" w:hint="default"/>
      </w:rPr>
    </w:lvl>
    <w:lvl w:ilvl="2" w:tplc="04150005">
      <w:start w:val="1"/>
      <w:numFmt w:val="bullet"/>
      <w:lvlText w:val=""/>
      <w:lvlJc w:val="left"/>
      <w:pPr>
        <w:tabs>
          <w:tab w:val="num" w:pos="2444"/>
        </w:tabs>
        <w:ind w:left="2444" w:hanging="360"/>
      </w:pPr>
      <w:rPr>
        <w:rFonts w:ascii="Wingdings" w:hAnsi="Wingdings" w:hint="default"/>
      </w:rPr>
    </w:lvl>
    <w:lvl w:ilvl="3" w:tplc="04150001">
      <w:start w:val="1"/>
      <w:numFmt w:val="bullet"/>
      <w:lvlText w:val=""/>
      <w:lvlJc w:val="left"/>
      <w:pPr>
        <w:tabs>
          <w:tab w:val="num" w:pos="3164"/>
        </w:tabs>
        <w:ind w:left="3164" w:hanging="360"/>
      </w:pPr>
      <w:rPr>
        <w:rFonts w:ascii="Symbol" w:hAnsi="Symbol" w:hint="default"/>
      </w:rPr>
    </w:lvl>
    <w:lvl w:ilvl="4" w:tplc="04150003">
      <w:start w:val="1"/>
      <w:numFmt w:val="bullet"/>
      <w:lvlText w:val="o"/>
      <w:lvlJc w:val="left"/>
      <w:pPr>
        <w:tabs>
          <w:tab w:val="num" w:pos="3884"/>
        </w:tabs>
        <w:ind w:left="3884" w:hanging="360"/>
      </w:pPr>
      <w:rPr>
        <w:rFonts w:ascii="Courier New" w:hAnsi="Courier New" w:hint="default"/>
      </w:rPr>
    </w:lvl>
    <w:lvl w:ilvl="5" w:tplc="04150005">
      <w:start w:val="1"/>
      <w:numFmt w:val="bullet"/>
      <w:lvlText w:val=""/>
      <w:lvlJc w:val="left"/>
      <w:pPr>
        <w:tabs>
          <w:tab w:val="num" w:pos="4604"/>
        </w:tabs>
        <w:ind w:left="4604" w:hanging="360"/>
      </w:pPr>
      <w:rPr>
        <w:rFonts w:ascii="Wingdings" w:hAnsi="Wingdings" w:hint="default"/>
      </w:rPr>
    </w:lvl>
    <w:lvl w:ilvl="6" w:tplc="04150001">
      <w:start w:val="1"/>
      <w:numFmt w:val="bullet"/>
      <w:lvlText w:val=""/>
      <w:lvlJc w:val="left"/>
      <w:pPr>
        <w:tabs>
          <w:tab w:val="num" w:pos="5324"/>
        </w:tabs>
        <w:ind w:left="5324" w:hanging="360"/>
      </w:pPr>
      <w:rPr>
        <w:rFonts w:ascii="Symbol" w:hAnsi="Symbol" w:hint="default"/>
      </w:rPr>
    </w:lvl>
    <w:lvl w:ilvl="7" w:tplc="04150003">
      <w:start w:val="1"/>
      <w:numFmt w:val="bullet"/>
      <w:lvlText w:val="o"/>
      <w:lvlJc w:val="left"/>
      <w:pPr>
        <w:tabs>
          <w:tab w:val="num" w:pos="6044"/>
        </w:tabs>
        <w:ind w:left="6044" w:hanging="360"/>
      </w:pPr>
      <w:rPr>
        <w:rFonts w:ascii="Courier New" w:hAnsi="Courier New" w:hint="default"/>
      </w:rPr>
    </w:lvl>
    <w:lvl w:ilvl="8" w:tplc="04150005">
      <w:start w:val="1"/>
      <w:numFmt w:val="bullet"/>
      <w:lvlText w:val=""/>
      <w:lvlJc w:val="left"/>
      <w:pPr>
        <w:tabs>
          <w:tab w:val="num" w:pos="6764"/>
        </w:tabs>
        <w:ind w:left="6764" w:hanging="360"/>
      </w:pPr>
      <w:rPr>
        <w:rFonts w:ascii="Wingdings" w:hAnsi="Wingdings" w:hint="default"/>
      </w:rPr>
    </w:lvl>
  </w:abstractNum>
  <w:abstractNum w:abstractNumId="4" w15:restartNumberingAfterBreak="0">
    <w:nsid w:val="215B5230"/>
    <w:multiLevelType w:val="hybridMultilevel"/>
    <w:tmpl w:val="3274D928"/>
    <w:lvl w:ilvl="0" w:tplc="7BAE4B02">
      <w:start w:val="2"/>
      <w:numFmt w:val="lowerLetter"/>
      <w:lvlText w:val="%1)"/>
      <w:lvlJc w:val="left"/>
      <w:pPr>
        <w:tabs>
          <w:tab w:val="num" w:pos="1107"/>
        </w:tabs>
        <w:ind w:left="1107" w:hanging="681"/>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5" w15:restartNumberingAfterBreak="0">
    <w:nsid w:val="22CE7002"/>
    <w:multiLevelType w:val="hybridMultilevel"/>
    <w:tmpl w:val="2856DD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F084A56"/>
    <w:multiLevelType w:val="hybridMultilevel"/>
    <w:tmpl w:val="4EF0C1F6"/>
    <w:lvl w:ilvl="0" w:tplc="C5D2AA1A">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6FE30CD"/>
    <w:multiLevelType w:val="hybridMultilevel"/>
    <w:tmpl w:val="A8BCD3BC"/>
    <w:lvl w:ilvl="0" w:tplc="0415000D">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15:restartNumberingAfterBreak="0">
    <w:nsid w:val="48C730AF"/>
    <w:multiLevelType w:val="hybridMultilevel"/>
    <w:tmpl w:val="ED022BDC"/>
    <w:lvl w:ilvl="0" w:tplc="0415000D">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57FB0BED"/>
    <w:multiLevelType w:val="hybridMultilevel"/>
    <w:tmpl w:val="1BD4114C"/>
    <w:lvl w:ilvl="0" w:tplc="D3CA977E">
      <w:start w:val="1"/>
      <w:numFmt w:val="lowerLetter"/>
      <w:lvlText w:val="%1)"/>
      <w:lvlJc w:val="left"/>
      <w:pPr>
        <w:tabs>
          <w:tab w:val="num" w:pos="4527"/>
        </w:tabs>
        <w:ind w:left="4527" w:hanging="567"/>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0" w15:restartNumberingAfterBreak="0">
    <w:nsid w:val="60A57387"/>
    <w:multiLevelType w:val="hybridMultilevel"/>
    <w:tmpl w:val="2856DD0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4623D7C"/>
    <w:multiLevelType w:val="hybridMultilevel"/>
    <w:tmpl w:val="E30E24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A592475"/>
    <w:multiLevelType w:val="hybridMultilevel"/>
    <w:tmpl w:val="8D64DC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9"/>
  </w:num>
  <w:num w:numId="5">
    <w:abstractNumId w:val="3"/>
  </w:num>
  <w:num w:numId="6">
    <w:abstractNumId w:val="4"/>
  </w:num>
  <w:num w:numId="7">
    <w:abstractNumId w:val="8"/>
  </w:num>
  <w:num w:numId="8">
    <w:abstractNumId w:val="7"/>
  </w:num>
  <w:num w:numId="9">
    <w:abstractNumId w:val="0"/>
  </w:num>
  <w:num w:numId="10">
    <w:abstractNumId w:val="12"/>
  </w:num>
  <w:num w:numId="11">
    <w:abstractNumId w:val="11"/>
  </w:num>
  <w:num w:numId="12">
    <w:abstractNumId w:val="6"/>
  </w:num>
  <w:num w:numId="13">
    <w:abstractNumId w:val="1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1283"/>
    <w:rsid w:val="00022033"/>
    <w:rsid w:val="00040196"/>
    <w:rsid w:val="00051FE6"/>
    <w:rsid w:val="00092BB7"/>
    <w:rsid w:val="000B7E3C"/>
    <w:rsid w:val="00106705"/>
    <w:rsid w:val="001C1619"/>
    <w:rsid w:val="002329A0"/>
    <w:rsid w:val="00270D3B"/>
    <w:rsid w:val="002B1283"/>
    <w:rsid w:val="00413A72"/>
    <w:rsid w:val="0044133F"/>
    <w:rsid w:val="00445E9E"/>
    <w:rsid w:val="00482EDE"/>
    <w:rsid w:val="0050190F"/>
    <w:rsid w:val="00583FB2"/>
    <w:rsid w:val="005D758D"/>
    <w:rsid w:val="006230BF"/>
    <w:rsid w:val="00716F90"/>
    <w:rsid w:val="00863F54"/>
    <w:rsid w:val="00915365"/>
    <w:rsid w:val="00971A06"/>
    <w:rsid w:val="009C740A"/>
    <w:rsid w:val="00A67081"/>
    <w:rsid w:val="00BB3377"/>
    <w:rsid w:val="00BD58F9"/>
    <w:rsid w:val="00C55549"/>
    <w:rsid w:val="00C7561A"/>
    <w:rsid w:val="00E126BE"/>
    <w:rsid w:val="00E42F04"/>
    <w:rsid w:val="00F23315"/>
    <w:rsid w:val="00F4156C"/>
    <w:rsid w:val="00F831D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61B646-55DE-4389-9804-3E4CB2E4E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92BB7"/>
    <w:pPr>
      <w:spacing w:after="200" w:line="276" w:lineRule="auto"/>
      <w:ind w:left="720"/>
      <w:contextualSpacing/>
    </w:pPr>
    <w:rPr>
      <w:rFonts w:ascii="Calibri" w:eastAsia="Calibri" w:hAnsi="Calibri" w:cs="Times New Roman"/>
    </w:rPr>
  </w:style>
  <w:style w:type="paragraph" w:styleId="Stopka">
    <w:name w:val="footer"/>
    <w:basedOn w:val="Normalny"/>
    <w:link w:val="StopkaZnak"/>
    <w:uiPriority w:val="99"/>
    <w:rsid w:val="00022033"/>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022033"/>
    <w:rPr>
      <w:rFonts w:ascii="Times New Roman" w:eastAsia="Times New Roman" w:hAnsi="Times New Roman" w:cs="Times New Roman"/>
      <w:sz w:val="20"/>
      <w:szCs w:val="20"/>
      <w:lang w:eastAsia="pl-PL"/>
    </w:rPr>
  </w:style>
  <w:style w:type="character" w:styleId="Hipercze">
    <w:name w:val="Hyperlink"/>
    <w:rsid w:val="00022033"/>
    <w:rPr>
      <w:color w:val="0000FF"/>
      <w:u w:val="single"/>
    </w:rPr>
  </w:style>
  <w:style w:type="character" w:customStyle="1" w:styleId="AkapitzlistZnak">
    <w:name w:val="Akapit z listą Znak"/>
    <w:aliases w:val="CW_Lista Znak"/>
    <w:link w:val="Akapitzlist"/>
    <w:uiPriority w:val="34"/>
    <w:rsid w:val="00413A72"/>
    <w:rPr>
      <w:rFonts w:ascii="Calibri" w:eastAsia="Calibri" w:hAnsi="Calibri" w:cs="Times New Roman"/>
    </w:rPr>
  </w:style>
  <w:style w:type="character" w:styleId="Odwoaniedokomentarza">
    <w:name w:val="annotation reference"/>
    <w:basedOn w:val="Domylnaczcionkaakapitu"/>
    <w:uiPriority w:val="99"/>
    <w:semiHidden/>
    <w:unhideWhenUsed/>
    <w:rsid w:val="00F4156C"/>
    <w:rPr>
      <w:sz w:val="16"/>
      <w:szCs w:val="16"/>
    </w:rPr>
  </w:style>
  <w:style w:type="paragraph" w:styleId="Tekstkomentarza">
    <w:name w:val="annotation text"/>
    <w:basedOn w:val="Normalny"/>
    <w:link w:val="TekstkomentarzaZnak"/>
    <w:uiPriority w:val="99"/>
    <w:semiHidden/>
    <w:unhideWhenUsed/>
    <w:rsid w:val="00F4156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4156C"/>
    <w:rPr>
      <w:sz w:val="20"/>
      <w:szCs w:val="20"/>
    </w:rPr>
  </w:style>
  <w:style w:type="paragraph" w:styleId="Tematkomentarza">
    <w:name w:val="annotation subject"/>
    <w:basedOn w:val="Tekstkomentarza"/>
    <w:next w:val="Tekstkomentarza"/>
    <w:link w:val="TematkomentarzaZnak"/>
    <w:uiPriority w:val="99"/>
    <w:semiHidden/>
    <w:unhideWhenUsed/>
    <w:rsid w:val="00F4156C"/>
    <w:rPr>
      <w:b/>
      <w:bCs/>
    </w:rPr>
  </w:style>
  <w:style w:type="character" w:customStyle="1" w:styleId="TematkomentarzaZnak">
    <w:name w:val="Temat komentarza Znak"/>
    <w:basedOn w:val="TekstkomentarzaZnak"/>
    <w:link w:val="Tematkomentarza"/>
    <w:uiPriority w:val="99"/>
    <w:semiHidden/>
    <w:rsid w:val="00F4156C"/>
    <w:rPr>
      <w:b/>
      <w:bCs/>
      <w:sz w:val="20"/>
      <w:szCs w:val="20"/>
    </w:rPr>
  </w:style>
  <w:style w:type="paragraph" w:styleId="Tekstdymka">
    <w:name w:val="Balloon Text"/>
    <w:basedOn w:val="Normalny"/>
    <w:link w:val="TekstdymkaZnak"/>
    <w:uiPriority w:val="99"/>
    <w:semiHidden/>
    <w:unhideWhenUsed/>
    <w:rsid w:val="00F4156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4156C"/>
    <w:rPr>
      <w:rFonts w:ascii="Tahoma" w:hAnsi="Tahoma" w:cs="Tahoma"/>
      <w:sz w:val="16"/>
      <w:szCs w:val="16"/>
    </w:rPr>
  </w:style>
  <w:style w:type="table" w:styleId="Tabela-Siatka">
    <w:name w:val="Table Grid"/>
    <w:basedOn w:val="Standardowy"/>
    <w:uiPriority w:val="39"/>
    <w:rsid w:val="00C75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zielinski@nencki.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zielinski@nencki.gov.pl" TargetMode="External"/><Relationship Id="rId5"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867</Words>
  <Characters>5208</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Elżbieta Stefaniuk</dc:creator>
  <cp:lastModifiedBy>Wboguta</cp:lastModifiedBy>
  <cp:revision>2</cp:revision>
  <dcterms:created xsi:type="dcterms:W3CDTF">2019-11-04T12:28:00Z</dcterms:created>
  <dcterms:modified xsi:type="dcterms:W3CDTF">2019-11-04T12:28:00Z</dcterms:modified>
</cp:coreProperties>
</file>