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2CF2" w14:textId="77777777"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30D2ED61" w14:textId="26E97EA0" w:rsidR="00B608BB" w:rsidRDefault="00B608BB" w:rsidP="002329A0">
      <w:pPr>
        <w:spacing w:after="0" w:line="240" w:lineRule="auto"/>
        <w:jc w:val="right"/>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2DDA5F64"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BB7CB4">
        <w:rPr>
          <w:rFonts w:cstheme="minorHAnsi"/>
          <w:sz w:val="20"/>
          <w:szCs w:val="20"/>
          <w:lang w:val="en-GB"/>
        </w:rPr>
        <w:t xml:space="preserve">10 </w:t>
      </w:r>
      <w:r w:rsidR="00D16D53">
        <w:rPr>
          <w:rFonts w:cstheme="minorHAnsi"/>
          <w:sz w:val="20"/>
          <w:szCs w:val="20"/>
          <w:lang w:val="en-GB"/>
        </w:rPr>
        <w:t xml:space="preserve">February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1BC1A721"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A76979">
        <w:rPr>
          <w:rFonts w:cstheme="minorHAnsi"/>
          <w:b/>
          <w:bCs/>
          <w:caps/>
          <w:sz w:val="20"/>
          <w:szCs w:val="20"/>
          <w:lang w:val="en-GB"/>
        </w:rPr>
        <w:t>0</w:t>
      </w:r>
      <w:r w:rsidR="00BB7CB4">
        <w:rPr>
          <w:rFonts w:cstheme="minorHAnsi"/>
          <w:b/>
          <w:bCs/>
          <w:caps/>
          <w:sz w:val="20"/>
          <w:szCs w:val="20"/>
          <w:lang w:val="en-GB"/>
        </w:rPr>
        <w:t>8</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4DAB26AF" w14:textId="77777777"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14:paraId="290E662C" w14:textId="77777777" w:rsidR="00D16D53" w:rsidRDefault="00D16D53" w:rsidP="00D16D53">
      <w:pPr>
        <w:spacing w:after="0" w:line="240" w:lineRule="auto"/>
        <w:jc w:val="center"/>
        <w:rPr>
          <w:rFonts w:ascii="Calibri" w:hAnsi="Calibri" w:cs="Calibri"/>
          <w:b/>
          <w:bCs/>
          <w:iCs/>
          <w:sz w:val="20"/>
          <w:szCs w:val="20"/>
          <w:lang w:val="en-GB"/>
        </w:rPr>
      </w:pPr>
      <w:r w:rsidRPr="00D16D53">
        <w:rPr>
          <w:rFonts w:ascii="Calibri" w:hAnsi="Calibri" w:cs="Calibri"/>
          <w:b/>
          <w:bCs/>
          <w:iCs/>
          <w:sz w:val="20"/>
          <w:szCs w:val="20"/>
          <w:lang w:val="en-GB"/>
        </w:rPr>
        <w:t xml:space="preserve">Service of performing in vitro ADME studies  for the drug candidate PKL-021, </w:t>
      </w:r>
    </w:p>
    <w:p w14:paraId="5FCC2487" w14:textId="5A1D1729" w:rsidR="00D16D53" w:rsidRPr="00D16D53" w:rsidRDefault="00D16D53" w:rsidP="00D16D53">
      <w:pPr>
        <w:spacing w:after="0" w:line="240" w:lineRule="auto"/>
        <w:jc w:val="center"/>
        <w:rPr>
          <w:rFonts w:ascii="Calibri" w:hAnsi="Calibri" w:cs="Calibri"/>
          <w:b/>
          <w:bCs/>
          <w:iCs/>
          <w:sz w:val="20"/>
          <w:szCs w:val="20"/>
          <w:lang w:val="en-GB"/>
        </w:rPr>
      </w:pPr>
      <w:r w:rsidRPr="00D16D53">
        <w:rPr>
          <w:rFonts w:ascii="Calibri" w:hAnsi="Calibri" w:cs="Calibri"/>
          <w:b/>
          <w:bCs/>
          <w:iCs/>
          <w:sz w:val="20"/>
          <w:szCs w:val="20"/>
          <w:lang w:val="en-GB"/>
        </w:rPr>
        <w:t>a small molecule chemical compound</w:t>
      </w:r>
    </w:p>
    <w:p w14:paraId="77A8F8FE" w14:textId="77777777" w:rsidR="00092BB7" w:rsidRPr="00D91677" w:rsidRDefault="00FF7CF6" w:rsidP="00D16D53">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with registered office at 3 </w:t>
      </w:r>
      <w:proofErr w:type="spellStart"/>
      <w:r w:rsidRPr="00D91677">
        <w:rPr>
          <w:rFonts w:cstheme="minorHAnsi"/>
          <w:sz w:val="20"/>
          <w:szCs w:val="20"/>
          <w:lang w:val="en-GB"/>
        </w:rPr>
        <w:t>Pasteura</w:t>
      </w:r>
      <w:proofErr w:type="spellEnd"/>
      <w:r w:rsidRPr="00D91677">
        <w:rPr>
          <w:rFonts w:cstheme="minorHAnsi"/>
          <w:sz w:val="20"/>
          <w:szCs w:val="20"/>
          <w:lang w:val="en-GB"/>
        </w:rPr>
        <w:t xml:space="preserve">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522BD9DA" w:rsidR="00092BB7" w:rsidRPr="00D16D53" w:rsidRDefault="00092BB7" w:rsidP="002329A0">
      <w:pPr>
        <w:autoSpaceDE w:val="0"/>
        <w:autoSpaceDN w:val="0"/>
        <w:adjustRightInd w:val="0"/>
        <w:spacing w:after="0" w:line="240" w:lineRule="auto"/>
        <w:rPr>
          <w:rFonts w:cstheme="minorHAnsi"/>
          <w:sz w:val="20"/>
          <w:szCs w:val="20"/>
          <w:lang w:val="en-US"/>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D16D53" w:rsidRPr="00D16D53">
        <w:rPr>
          <w:rFonts w:cstheme="minorHAnsi"/>
          <w:sz w:val="20"/>
          <w:szCs w:val="20"/>
          <w:lang w:val="en-US"/>
        </w:rPr>
        <w:t xml:space="preserve">Barbara </w:t>
      </w:r>
      <w:proofErr w:type="spellStart"/>
      <w:r w:rsidR="00D16D53" w:rsidRPr="00D16D53">
        <w:rPr>
          <w:rFonts w:cstheme="minorHAnsi"/>
          <w:sz w:val="20"/>
          <w:szCs w:val="20"/>
          <w:lang w:val="en-US"/>
        </w:rPr>
        <w:t>Pijet</w:t>
      </w:r>
      <w:proofErr w:type="spellEnd"/>
      <w:r w:rsidR="00D16D53" w:rsidRPr="00D16D53">
        <w:rPr>
          <w:rFonts w:cstheme="minorHAnsi"/>
          <w:sz w:val="20"/>
          <w:szCs w:val="20"/>
          <w:lang w:val="en-US"/>
        </w:rPr>
        <w:t xml:space="preserve">- </w:t>
      </w:r>
      <w:proofErr w:type="spellStart"/>
      <w:r w:rsidR="00D16D53" w:rsidRPr="00D16D53">
        <w:rPr>
          <w:rFonts w:cstheme="minorHAnsi"/>
          <w:sz w:val="20"/>
          <w:szCs w:val="20"/>
          <w:lang w:val="en-US"/>
        </w:rPr>
        <w:t>Binkiewicz</w:t>
      </w:r>
      <w:proofErr w:type="spellEnd"/>
    </w:p>
    <w:p w14:paraId="08D6D449" w14:textId="0CA19441"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D16D53" w:rsidRPr="002A0A35">
          <w:rPr>
            <w:rStyle w:val="Hipercze"/>
            <w:rFonts w:cstheme="minorHAnsi"/>
            <w:sz w:val="20"/>
            <w:szCs w:val="20"/>
            <w:lang w:val="en-US"/>
          </w:rPr>
          <w:t>b.pijet@nencki.edu.pl</w:t>
        </w:r>
      </w:hyperlink>
    </w:p>
    <w:p w14:paraId="349AB256" w14:textId="6E4AF525"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A237E5">
        <w:rPr>
          <w:rFonts w:cstheme="minorHAnsi"/>
          <w:b/>
          <w:bCs/>
          <w:sz w:val="20"/>
          <w:szCs w:val="20"/>
          <w:lang w:val="en-GB"/>
        </w:rPr>
        <w:t>2</w:t>
      </w:r>
      <w:r w:rsidR="00BB7CB4">
        <w:rPr>
          <w:rFonts w:cstheme="minorHAnsi"/>
          <w:b/>
          <w:bCs/>
          <w:sz w:val="20"/>
          <w:szCs w:val="20"/>
          <w:lang w:val="en-GB"/>
        </w:rPr>
        <w:t>1</w:t>
      </w:r>
      <w:r w:rsidR="00635B95" w:rsidRPr="00D91677">
        <w:rPr>
          <w:rFonts w:cstheme="minorHAnsi"/>
          <w:b/>
          <w:bCs/>
          <w:sz w:val="20"/>
          <w:szCs w:val="20"/>
          <w:lang w:val="en-GB"/>
        </w:rPr>
        <w:t xml:space="preserve"> </w:t>
      </w:r>
      <w:r w:rsidR="00D16D53">
        <w:rPr>
          <w:rFonts w:cstheme="minorHAnsi"/>
          <w:b/>
          <w:bCs/>
          <w:sz w:val="20"/>
          <w:szCs w:val="20"/>
          <w:lang w:val="en-GB"/>
        </w:rPr>
        <w:t xml:space="preserve">February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D91677" w:rsidRDefault="00EC5496" w:rsidP="00F4300A">
      <w:pPr>
        <w:autoSpaceDE w:val="0"/>
        <w:autoSpaceDN w:val="0"/>
        <w:adjustRightInd w:val="0"/>
        <w:spacing w:after="0" w:line="240" w:lineRule="auto"/>
        <w:jc w:val="both"/>
        <w:rPr>
          <w:rFonts w:cstheme="minorHAnsi"/>
          <w:b/>
          <w:bCs/>
          <w:sz w:val="20"/>
          <w:szCs w:val="20"/>
          <w:lang w:val="en-GB"/>
        </w:rPr>
      </w:pPr>
    </w:p>
    <w:p w14:paraId="09333F7C" w14:textId="323B355E" w:rsidR="00D16D53" w:rsidRPr="00D16D53" w:rsidRDefault="00F4300A" w:rsidP="00D16D53">
      <w:pPr>
        <w:jc w:val="both"/>
        <w:rPr>
          <w:rFonts w:cstheme="minorHAnsi"/>
          <w:sz w:val="20"/>
          <w:szCs w:val="20"/>
          <w:lang w:val="en-GB"/>
        </w:rPr>
      </w:pPr>
      <w:r w:rsidRPr="00D91677">
        <w:rPr>
          <w:rFonts w:cstheme="minorHAnsi"/>
          <w:sz w:val="20"/>
          <w:szCs w:val="20"/>
          <w:lang w:val="en-GB"/>
        </w:rPr>
        <w:t xml:space="preserve">The </w:t>
      </w:r>
      <w:r w:rsidRPr="00D16D53">
        <w:rPr>
          <w:rFonts w:cstheme="minorHAnsi"/>
          <w:sz w:val="20"/>
          <w:szCs w:val="20"/>
          <w:lang w:val="en-GB"/>
        </w:rPr>
        <w:t>subject matter of the contract is</w:t>
      </w:r>
      <w:r w:rsidR="00700083" w:rsidRPr="00D16D53">
        <w:rPr>
          <w:rFonts w:cstheme="minorHAnsi"/>
          <w:sz w:val="20"/>
          <w:szCs w:val="20"/>
          <w:lang w:val="en-GB"/>
        </w:rPr>
        <w:t>:</w:t>
      </w:r>
      <w:r w:rsidR="002F7841" w:rsidRPr="00D16D53">
        <w:rPr>
          <w:rFonts w:cstheme="minorHAnsi"/>
          <w:sz w:val="20"/>
          <w:szCs w:val="20"/>
          <w:lang w:val="en-GB"/>
        </w:rPr>
        <w:t xml:space="preserve"> </w:t>
      </w:r>
      <w:r w:rsidR="00D16D53" w:rsidRPr="00D16D53">
        <w:rPr>
          <w:rFonts w:cstheme="minorHAnsi"/>
          <w:sz w:val="20"/>
          <w:szCs w:val="20"/>
          <w:lang w:val="en-GB"/>
        </w:rPr>
        <w:t xml:space="preserve">Service of performing in vitro ADME studies  for the drug candidate </w:t>
      </w:r>
      <w:r w:rsidR="00D16D53">
        <w:rPr>
          <w:rFonts w:cstheme="minorHAnsi"/>
          <w:sz w:val="20"/>
          <w:szCs w:val="20"/>
          <w:lang w:val="en-GB"/>
        </w:rPr>
        <w:br/>
      </w:r>
      <w:r w:rsidR="00D16D53" w:rsidRPr="00D16D53">
        <w:rPr>
          <w:rFonts w:cstheme="minorHAnsi"/>
          <w:sz w:val="20"/>
          <w:szCs w:val="20"/>
          <w:lang w:val="en-GB"/>
        </w:rPr>
        <w:t>PKL-021, a small molecule chemical compound, in particular studies including:</w:t>
      </w:r>
    </w:p>
    <w:p w14:paraId="44AA3255" w14:textId="77777777" w:rsidR="00D16D53" w:rsidRPr="00D16D53" w:rsidRDefault="00D16D53" w:rsidP="00DD7705">
      <w:pPr>
        <w:pStyle w:val="Akapitzlist"/>
        <w:numPr>
          <w:ilvl w:val="0"/>
          <w:numId w:val="3"/>
        </w:numPr>
        <w:spacing w:before="120" w:beforeAutospacing="1" w:after="0" w:afterAutospacing="1" w:line="240" w:lineRule="auto"/>
        <w:rPr>
          <w:b/>
          <w:bCs/>
          <w:color w:val="000000"/>
          <w:sz w:val="20"/>
          <w:szCs w:val="20"/>
        </w:rPr>
      </w:pPr>
      <w:r w:rsidRPr="00D16D53">
        <w:rPr>
          <w:b/>
          <w:bCs/>
          <w:color w:val="000000"/>
          <w:sz w:val="20"/>
          <w:szCs w:val="20"/>
        </w:rPr>
        <w:t xml:space="preserve">MDCK-MDR1 </w:t>
      </w:r>
      <w:proofErr w:type="spellStart"/>
      <w:r w:rsidRPr="00D16D53">
        <w:rPr>
          <w:b/>
          <w:bCs/>
          <w:color w:val="000000"/>
          <w:sz w:val="20"/>
          <w:szCs w:val="20"/>
        </w:rPr>
        <w:t>assay</w:t>
      </w:r>
      <w:proofErr w:type="spellEnd"/>
    </w:p>
    <w:p w14:paraId="5059C729" w14:textId="77777777" w:rsidR="00D16D53" w:rsidRPr="00D16D53" w:rsidRDefault="00D16D53" w:rsidP="00DD7705">
      <w:pPr>
        <w:pStyle w:val="Akapitzlist"/>
        <w:numPr>
          <w:ilvl w:val="0"/>
          <w:numId w:val="4"/>
        </w:numPr>
        <w:spacing w:before="120" w:after="100" w:afterAutospacing="1" w:line="240" w:lineRule="auto"/>
        <w:rPr>
          <w:rFonts w:cstheme="minorHAnsi"/>
          <w:color w:val="000000"/>
          <w:sz w:val="20"/>
          <w:szCs w:val="20"/>
          <w:lang w:val="en-GB"/>
        </w:rPr>
      </w:pPr>
      <w:r w:rsidRPr="00D16D53">
        <w:rPr>
          <w:rFonts w:cstheme="minorHAnsi"/>
          <w:color w:val="000000"/>
          <w:sz w:val="20"/>
          <w:szCs w:val="20"/>
          <w:lang w:val="en-GB"/>
        </w:rPr>
        <w:t>assessing transport in both directions (A-B, B-A)</w:t>
      </w:r>
    </w:p>
    <w:p w14:paraId="1F3A5965" w14:textId="77777777" w:rsidR="00D16D53" w:rsidRPr="00D16D53" w:rsidRDefault="00D16D53" w:rsidP="00DD7705">
      <w:pPr>
        <w:pStyle w:val="Akapitzlist"/>
        <w:numPr>
          <w:ilvl w:val="0"/>
          <w:numId w:val="4"/>
        </w:numPr>
        <w:spacing w:before="100" w:beforeAutospacing="1" w:after="100" w:afterAutospacing="1" w:line="240" w:lineRule="auto"/>
        <w:rPr>
          <w:rFonts w:cstheme="minorHAnsi"/>
          <w:color w:val="000000"/>
          <w:sz w:val="20"/>
          <w:szCs w:val="20"/>
          <w:lang w:val="en-GB"/>
        </w:rPr>
      </w:pPr>
      <w:r w:rsidRPr="00D16D53">
        <w:rPr>
          <w:rFonts w:cstheme="minorHAnsi"/>
          <w:color w:val="000000"/>
          <w:sz w:val="20"/>
          <w:szCs w:val="20"/>
          <w:lang w:val="en-GB"/>
        </w:rPr>
        <w:t xml:space="preserve">at least 1 test concentration of a test article </w:t>
      </w:r>
    </w:p>
    <w:p w14:paraId="1C8447F1" w14:textId="77777777" w:rsidR="00D16D53" w:rsidRPr="00D16D53" w:rsidRDefault="00D16D53" w:rsidP="00DD7705">
      <w:pPr>
        <w:pStyle w:val="Akapitzlist"/>
        <w:numPr>
          <w:ilvl w:val="0"/>
          <w:numId w:val="4"/>
        </w:numPr>
        <w:spacing w:before="100" w:beforeAutospacing="1" w:after="0" w:afterAutospacing="1" w:line="240" w:lineRule="auto"/>
        <w:rPr>
          <w:rFonts w:cstheme="minorHAnsi"/>
          <w:color w:val="000000"/>
          <w:sz w:val="20"/>
          <w:szCs w:val="20"/>
        </w:rPr>
      </w:pPr>
      <w:proofErr w:type="spellStart"/>
      <w:r w:rsidRPr="00D16D53">
        <w:rPr>
          <w:rFonts w:cstheme="minorHAnsi"/>
          <w:color w:val="000000"/>
          <w:sz w:val="20"/>
          <w:szCs w:val="20"/>
        </w:rPr>
        <w:t>at</w:t>
      </w:r>
      <w:proofErr w:type="spellEnd"/>
      <w:r w:rsidRPr="00D16D53">
        <w:rPr>
          <w:rFonts w:cstheme="minorHAnsi"/>
          <w:color w:val="000000"/>
          <w:sz w:val="20"/>
          <w:szCs w:val="20"/>
        </w:rPr>
        <w:t xml:space="preserve"> </w:t>
      </w:r>
      <w:proofErr w:type="spellStart"/>
      <w:r w:rsidRPr="00D16D53">
        <w:rPr>
          <w:rFonts w:cstheme="minorHAnsi"/>
          <w:color w:val="000000"/>
          <w:sz w:val="20"/>
          <w:szCs w:val="20"/>
        </w:rPr>
        <w:t>least</w:t>
      </w:r>
      <w:proofErr w:type="spellEnd"/>
      <w:r w:rsidRPr="00D16D53">
        <w:rPr>
          <w:rFonts w:cstheme="minorHAnsi"/>
          <w:color w:val="000000"/>
          <w:sz w:val="20"/>
          <w:szCs w:val="20"/>
        </w:rPr>
        <w:t xml:space="preserve"> 2 </w:t>
      </w:r>
      <w:proofErr w:type="spellStart"/>
      <w:r w:rsidRPr="00D16D53">
        <w:rPr>
          <w:rFonts w:cstheme="minorHAnsi"/>
          <w:color w:val="000000"/>
          <w:sz w:val="20"/>
          <w:szCs w:val="20"/>
        </w:rPr>
        <w:t>replicates</w:t>
      </w:r>
      <w:proofErr w:type="spellEnd"/>
    </w:p>
    <w:p w14:paraId="19C8B0A2" w14:textId="77777777" w:rsidR="00D16D53" w:rsidRPr="00D16D53" w:rsidRDefault="00D16D53" w:rsidP="00DD7705">
      <w:pPr>
        <w:pStyle w:val="Akapitzlist"/>
        <w:numPr>
          <w:ilvl w:val="0"/>
          <w:numId w:val="4"/>
        </w:numPr>
        <w:spacing w:before="100" w:beforeAutospacing="1" w:after="100" w:afterAutospacing="1" w:line="240" w:lineRule="auto"/>
        <w:rPr>
          <w:rFonts w:cstheme="minorHAnsi"/>
          <w:color w:val="000000"/>
          <w:sz w:val="20"/>
          <w:szCs w:val="20"/>
          <w:lang w:val="en-GB"/>
        </w:rPr>
      </w:pPr>
      <w:r w:rsidRPr="00D16D53">
        <w:rPr>
          <w:rFonts w:cstheme="minorHAnsi"/>
          <w:color w:val="000000"/>
          <w:sz w:val="20"/>
          <w:szCs w:val="20"/>
          <w:lang w:val="en-GB"/>
        </w:rPr>
        <w:t>incubation time at least 60 min max 150 min</w:t>
      </w:r>
    </w:p>
    <w:p w14:paraId="432D06A6" w14:textId="77777777" w:rsidR="00D16D53" w:rsidRPr="00D16D53" w:rsidRDefault="00D16D53" w:rsidP="00DD7705">
      <w:pPr>
        <w:pStyle w:val="Akapitzlist"/>
        <w:numPr>
          <w:ilvl w:val="0"/>
          <w:numId w:val="4"/>
        </w:numPr>
        <w:spacing w:before="100" w:beforeAutospacing="1" w:after="100" w:afterAutospacing="1" w:line="240" w:lineRule="auto"/>
        <w:rPr>
          <w:rFonts w:cstheme="minorHAnsi"/>
          <w:color w:val="000000"/>
          <w:sz w:val="20"/>
          <w:szCs w:val="20"/>
          <w:lang w:val="en-GB"/>
        </w:rPr>
      </w:pPr>
      <w:r w:rsidRPr="00D16D53">
        <w:rPr>
          <w:rFonts w:cstheme="minorHAnsi"/>
          <w:color w:val="000000"/>
          <w:sz w:val="20"/>
          <w:szCs w:val="20"/>
          <w:lang w:val="en-GB"/>
        </w:rPr>
        <w:t xml:space="preserve">Data delivery: </w:t>
      </w:r>
      <w:r w:rsidRPr="00D16D53">
        <w:rPr>
          <w:color w:val="000000"/>
          <w:sz w:val="20"/>
          <w:szCs w:val="20"/>
          <w:lang w:val="en-GB"/>
        </w:rPr>
        <w:t xml:space="preserve">report in English including </w:t>
      </w:r>
      <w:r w:rsidRPr="00D16D53">
        <w:rPr>
          <w:rFonts w:cstheme="minorHAnsi"/>
          <w:color w:val="000000"/>
          <w:sz w:val="20"/>
          <w:szCs w:val="20"/>
          <w:lang w:val="en-GB"/>
        </w:rPr>
        <w:t>P app, efflux ratio, % recovery</w:t>
      </w:r>
    </w:p>
    <w:p w14:paraId="3164F94E" w14:textId="77777777" w:rsidR="00D16D53" w:rsidRPr="00D16D53" w:rsidRDefault="00D16D53" w:rsidP="00DD7705">
      <w:pPr>
        <w:pStyle w:val="Akapitzlist"/>
        <w:numPr>
          <w:ilvl w:val="0"/>
          <w:numId w:val="3"/>
        </w:numPr>
        <w:spacing w:before="100" w:beforeAutospacing="1" w:after="120" w:afterAutospacing="1" w:line="240" w:lineRule="auto"/>
        <w:rPr>
          <w:b/>
          <w:bCs/>
          <w:color w:val="000000"/>
          <w:sz w:val="20"/>
          <w:szCs w:val="20"/>
        </w:rPr>
      </w:pPr>
      <w:r w:rsidRPr="00D16D53">
        <w:rPr>
          <w:b/>
          <w:bCs/>
          <w:color w:val="000000"/>
          <w:sz w:val="20"/>
          <w:szCs w:val="20"/>
        </w:rPr>
        <w:t xml:space="preserve">CYP </w:t>
      </w:r>
      <w:proofErr w:type="spellStart"/>
      <w:r w:rsidRPr="00D16D53">
        <w:rPr>
          <w:b/>
          <w:bCs/>
          <w:color w:val="000000"/>
          <w:sz w:val="20"/>
          <w:szCs w:val="20"/>
        </w:rPr>
        <w:t>induction</w:t>
      </w:r>
      <w:proofErr w:type="spellEnd"/>
      <w:r w:rsidRPr="00D16D53">
        <w:rPr>
          <w:b/>
          <w:bCs/>
          <w:color w:val="000000"/>
          <w:sz w:val="20"/>
          <w:szCs w:val="20"/>
        </w:rPr>
        <w:t xml:space="preserve"> </w:t>
      </w:r>
    </w:p>
    <w:p w14:paraId="09BCE780" w14:textId="77777777" w:rsidR="00D16D53" w:rsidRPr="00D16D53" w:rsidRDefault="00D16D53" w:rsidP="00DD7705">
      <w:pPr>
        <w:pStyle w:val="Akapitzlist"/>
        <w:numPr>
          <w:ilvl w:val="0"/>
          <w:numId w:val="5"/>
        </w:numPr>
        <w:spacing w:after="100" w:afterAutospacing="1" w:line="240" w:lineRule="auto"/>
        <w:rPr>
          <w:color w:val="000000"/>
          <w:sz w:val="20"/>
          <w:szCs w:val="20"/>
          <w:lang w:val="en-GB"/>
        </w:rPr>
      </w:pPr>
      <w:r w:rsidRPr="00D16D53">
        <w:rPr>
          <w:color w:val="000000"/>
          <w:sz w:val="20"/>
          <w:szCs w:val="20"/>
          <w:lang w:val="en-GB"/>
        </w:rPr>
        <w:t>test system – pooled cryopreserved human hepatocytes (at least 3 donors)</w:t>
      </w:r>
    </w:p>
    <w:p w14:paraId="2F09DBE3" w14:textId="77777777" w:rsidR="00D16D53" w:rsidRPr="00D16D53" w:rsidRDefault="00D16D53" w:rsidP="00DD7705">
      <w:pPr>
        <w:pStyle w:val="Akapitzlist"/>
        <w:numPr>
          <w:ilvl w:val="0"/>
          <w:numId w:val="5"/>
        </w:numPr>
        <w:spacing w:before="100" w:beforeAutospacing="1" w:after="0" w:afterAutospacing="1" w:line="240" w:lineRule="auto"/>
        <w:rPr>
          <w:color w:val="000000"/>
          <w:sz w:val="20"/>
          <w:szCs w:val="20"/>
          <w:lang w:val="en-GB"/>
        </w:rPr>
      </w:pPr>
      <w:r w:rsidRPr="00D16D53">
        <w:rPr>
          <w:color w:val="000000"/>
          <w:sz w:val="20"/>
          <w:szCs w:val="20"/>
          <w:lang w:val="en-GB"/>
        </w:rPr>
        <w:t>CYP isoforms tested: CYP1A2, CYP2B6, CYP3A4</w:t>
      </w:r>
    </w:p>
    <w:p w14:paraId="28456AC2" w14:textId="77777777" w:rsidR="00D16D53" w:rsidRPr="00D16D53" w:rsidRDefault="00D16D53" w:rsidP="00DD7705">
      <w:pPr>
        <w:pStyle w:val="Akapitzlist"/>
        <w:numPr>
          <w:ilvl w:val="0"/>
          <w:numId w:val="5"/>
        </w:numPr>
        <w:spacing w:before="100" w:beforeAutospacing="1" w:after="0" w:afterAutospacing="1" w:line="240" w:lineRule="auto"/>
        <w:rPr>
          <w:color w:val="000000"/>
          <w:sz w:val="20"/>
          <w:szCs w:val="20"/>
          <w:lang w:val="en-GB"/>
        </w:rPr>
      </w:pPr>
      <w:r w:rsidRPr="00D16D53">
        <w:rPr>
          <w:color w:val="000000"/>
          <w:sz w:val="20"/>
          <w:szCs w:val="20"/>
          <w:lang w:val="en-GB"/>
        </w:rPr>
        <w:t>at least 5 test article concentrations, 3 replicates</w:t>
      </w:r>
    </w:p>
    <w:p w14:paraId="0A1D5F69" w14:textId="77777777" w:rsidR="00D16D53" w:rsidRPr="00D16D53" w:rsidRDefault="00D16D53" w:rsidP="00DD7705">
      <w:pPr>
        <w:pStyle w:val="Akapitzlist"/>
        <w:numPr>
          <w:ilvl w:val="0"/>
          <w:numId w:val="5"/>
        </w:numPr>
        <w:spacing w:before="100" w:beforeAutospacing="1" w:after="0" w:afterAutospacing="1" w:line="240" w:lineRule="auto"/>
        <w:rPr>
          <w:color w:val="000000"/>
          <w:sz w:val="20"/>
          <w:szCs w:val="20"/>
          <w:lang w:val="en-GB"/>
        </w:rPr>
      </w:pPr>
      <w:r w:rsidRPr="00D16D53">
        <w:rPr>
          <w:color w:val="000000"/>
          <w:sz w:val="20"/>
          <w:szCs w:val="20"/>
          <w:lang w:val="en-GB"/>
        </w:rPr>
        <w:t>experiment time – till at least 48h</w:t>
      </w:r>
    </w:p>
    <w:p w14:paraId="23E1E4D6" w14:textId="77777777" w:rsidR="00D16D53" w:rsidRPr="00D16D53" w:rsidRDefault="00D16D53" w:rsidP="00DD7705">
      <w:pPr>
        <w:pStyle w:val="Akapitzlist"/>
        <w:numPr>
          <w:ilvl w:val="0"/>
          <w:numId w:val="5"/>
        </w:numPr>
        <w:spacing w:after="120" w:line="240" w:lineRule="auto"/>
        <w:rPr>
          <w:color w:val="000000"/>
          <w:sz w:val="20"/>
          <w:szCs w:val="20"/>
          <w:lang w:val="en-GB"/>
        </w:rPr>
      </w:pPr>
      <w:r w:rsidRPr="00D16D53">
        <w:rPr>
          <w:color w:val="000000"/>
          <w:sz w:val="20"/>
          <w:szCs w:val="20"/>
          <w:lang w:val="en-GB"/>
        </w:rPr>
        <w:t>Data delivery: report in English including enzymatic activity and mRNA levels, % of positive control and mean fold induction relative to vehicle control, concentration of metabolite of probe substrate, E max, EC</w:t>
      </w:r>
      <w:r w:rsidRPr="00D16D53">
        <w:rPr>
          <w:color w:val="000000"/>
          <w:sz w:val="20"/>
          <w:szCs w:val="20"/>
          <w:vertAlign w:val="subscript"/>
          <w:lang w:val="en-GB"/>
        </w:rPr>
        <w:t xml:space="preserve">50 </w:t>
      </w:r>
    </w:p>
    <w:p w14:paraId="2C14A73B" w14:textId="77777777" w:rsidR="00D16D53" w:rsidRPr="00D16D53" w:rsidRDefault="00D16D53" w:rsidP="00DD7705">
      <w:pPr>
        <w:pStyle w:val="Akapitzlist"/>
        <w:numPr>
          <w:ilvl w:val="0"/>
          <w:numId w:val="3"/>
        </w:numPr>
        <w:spacing w:before="100" w:beforeAutospacing="1" w:after="120" w:afterAutospacing="1" w:line="240" w:lineRule="auto"/>
        <w:rPr>
          <w:b/>
          <w:bCs/>
          <w:color w:val="000000"/>
          <w:sz w:val="20"/>
          <w:szCs w:val="20"/>
        </w:rPr>
      </w:pPr>
      <w:proofErr w:type="spellStart"/>
      <w:r w:rsidRPr="00D16D53">
        <w:rPr>
          <w:b/>
          <w:bCs/>
          <w:color w:val="000000"/>
          <w:sz w:val="20"/>
          <w:szCs w:val="20"/>
        </w:rPr>
        <w:t>Plasma</w:t>
      </w:r>
      <w:proofErr w:type="spellEnd"/>
      <w:r w:rsidRPr="00D16D53">
        <w:rPr>
          <w:b/>
          <w:bCs/>
          <w:color w:val="000000"/>
          <w:sz w:val="20"/>
          <w:szCs w:val="20"/>
        </w:rPr>
        <w:t xml:space="preserve"> protein </w:t>
      </w:r>
      <w:proofErr w:type="spellStart"/>
      <w:r w:rsidRPr="00D16D53">
        <w:rPr>
          <w:b/>
          <w:bCs/>
          <w:color w:val="000000"/>
          <w:sz w:val="20"/>
          <w:szCs w:val="20"/>
        </w:rPr>
        <w:t>binding</w:t>
      </w:r>
      <w:proofErr w:type="spellEnd"/>
      <w:r w:rsidRPr="00D16D53">
        <w:rPr>
          <w:b/>
          <w:bCs/>
          <w:color w:val="000000"/>
          <w:sz w:val="20"/>
          <w:szCs w:val="20"/>
        </w:rPr>
        <w:t xml:space="preserve"> </w:t>
      </w:r>
    </w:p>
    <w:p w14:paraId="2F6052D5" w14:textId="77777777" w:rsidR="00D16D53" w:rsidRPr="00D16D53" w:rsidRDefault="00D16D53" w:rsidP="00DD7705">
      <w:pPr>
        <w:pStyle w:val="Akapitzlist"/>
        <w:numPr>
          <w:ilvl w:val="0"/>
          <w:numId w:val="6"/>
        </w:numPr>
        <w:spacing w:after="100" w:afterAutospacing="1" w:line="240" w:lineRule="auto"/>
        <w:jc w:val="both"/>
        <w:rPr>
          <w:color w:val="000000"/>
          <w:sz w:val="20"/>
          <w:szCs w:val="20"/>
          <w:lang w:val="en-GB"/>
        </w:rPr>
      </w:pPr>
      <w:r w:rsidRPr="00D16D53">
        <w:rPr>
          <w:color w:val="000000"/>
          <w:sz w:val="20"/>
          <w:szCs w:val="20"/>
          <w:lang w:val="en-GB"/>
        </w:rPr>
        <w:t xml:space="preserve">species: CD-1 mouse, Wistar/ </w:t>
      </w:r>
      <w:proofErr w:type="spellStart"/>
      <w:r w:rsidRPr="00D16D53">
        <w:rPr>
          <w:color w:val="000000"/>
          <w:sz w:val="20"/>
          <w:szCs w:val="20"/>
          <w:lang w:val="en-GB"/>
        </w:rPr>
        <w:t>Spraque</w:t>
      </w:r>
      <w:proofErr w:type="spellEnd"/>
      <w:r w:rsidRPr="00D16D53">
        <w:rPr>
          <w:color w:val="000000"/>
          <w:sz w:val="20"/>
          <w:szCs w:val="20"/>
          <w:lang w:val="en-GB"/>
        </w:rPr>
        <w:t xml:space="preserve"> Dawley rat, Beagle dog, Gottingen/BAMA minipig, White New Zealand rabbit, Cynomolgus monkey and human</w:t>
      </w:r>
    </w:p>
    <w:p w14:paraId="1D568B66" w14:textId="77777777" w:rsidR="00D16D53" w:rsidRPr="00D16D53" w:rsidRDefault="00D16D53" w:rsidP="00DD7705">
      <w:pPr>
        <w:pStyle w:val="Akapitzlist"/>
        <w:numPr>
          <w:ilvl w:val="0"/>
          <w:numId w:val="6"/>
        </w:numPr>
        <w:spacing w:after="100" w:afterAutospacing="1" w:line="240" w:lineRule="auto"/>
        <w:jc w:val="both"/>
        <w:rPr>
          <w:color w:val="000000"/>
          <w:sz w:val="20"/>
          <w:szCs w:val="20"/>
        </w:rPr>
      </w:pPr>
      <w:proofErr w:type="spellStart"/>
      <w:r w:rsidRPr="00D16D53">
        <w:rPr>
          <w:color w:val="000000"/>
          <w:sz w:val="20"/>
          <w:szCs w:val="20"/>
        </w:rPr>
        <w:t>method</w:t>
      </w:r>
      <w:proofErr w:type="spellEnd"/>
      <w:r w:rsidRPr="00D16D53">
        <w:rPr>
          <w:color w:val="000000"/>
          <w:sz w:val="20"/>
          <w:szCs w:val="20"/>
        </w:rPr>
        <w:t xml:space="preserve">: </w:t>
      </w:r>
      <w:proofErr w:type="spellStart"/>
      <w:r w:rsidRPr="00D16D53">
        <w:rPr>
          <w:color w:val="000000"/>
          <w:sz w:val="20"/>
          <w:szCs w:val="20"/>
        </w:rPr>
        <w:t>equilibrium</w:t>
      </w:r>
      <w:proofErr w:type="spellEnd"/>
      <w:r w:rsidRPr="00D16D53">
        <w:rPr>
          <w:color w:val="000000"/>
          <w:sz w:val="20"/>
          <w:szCs w:val="20"/>
        </w:rPr>
        <w:t xml:space="preserve"> </w:t>
      </w:r>
      <w:proofErr w:type="spellStart"/>
      <w:r w:rsidRPr="00D16D53">
        <w:rPr>
          <w:color w:val="000000"/>
          <w:sz w:val="20"/>
          <w:szCs w:val="20"/>
        </w:rPr>
        <w:t>dialysis</w:t>
      </w:r>
      <w:proofErr w:type="spellEnd"/>
    </w:p>
    <w:p w14:paraId="1C2E8F9D" w14:textId="77777777" w:rsidR="00D16D53" w:rsidRPr="00D16D53" w:rsidRDefault="00D16D53" w:rsidP="00DD7705">
      <w:pPr>
        <w:pStyle w:val="Akapitzlist"/>
        <w:numPr>
          <w:ilvl w:val="0"/>
          <w:numId w:val="6"/>
        </w:numPr>
        <w:spacing w:after="100" w:afterAutospacing="1" w:line="240" w:lineRule="auto"/>
        <w:jc w:val="both"/>
        <w:rPr>
          <w:color w:val="000000"/>
          <w:sz w:val="20"/>
          <w:szCs w:val="20"/>
          <w:lang w:val="en-GB"/>
        </w:rPr>
      </w:pPr>
      <w:r w:rsidRPr="00D16D53">
        <w:rPr>
          <w:color w:val="000000"/>
          <w:sz w:val="20"/>
          <w:szCs w:val="20"/>
          <w:lang w:val="en-GB"/>
        </w:rPr>
        <w:t>1 concentration of a test article, 3 replicates</w:t>
      </w:r>
    </w:p>
    <w:p w14:paraId="41483F6B" w14:textId="77777777" w:rsidR="00D16D53" w:rsidRPr="00D16D53" w:rsidRDefault="00D16D53" w:rsidP="00DD7705">
      <w:pPr>
        <w:pStyle w:val="Akapitzlist"/>
        <w:numPr>
          <w:ilvl w:val="0"/>
          <w:numId w:val="6"/>
        </w:numPr>
        <w:spacing w:after="100" w:afterAutospacing="1" w:line="240" w:lineRule="auto"/>
        <w:jc w:val="both"/>
        <w:rPr>
          <w:b/>
          <w:bCs/>
          <w:color w:val="000000"/>
          <w:sz w:val="20"/>
          <w:szCs w:val="20"/>
          <w:lang w:val="en-GB"/>
        </w:rPr>
      </w:pPr>
      <w:r w:rsidRPr="00D16D53">
        <w:rPr>
          <w:color w:val="000000"/>
          <w:sz w:val="20"/>
          <w:szCs w:val="20"/>
          <w:lang w:val="en-GB"/>
        </w:rPr>
        <w:t>data delivery: report in English including fraction unbound (fu) and recovery</w:t>
      </w:r>
    </w:p>
    <w:p w14:paraId="0BB5CD5B" w14:textId="77777777" w:rsidR="00D16D53" w:rsidRPr="00D16D53" w:rsidRDefault="00D16D53" w:rsidP="00DD7705">
      <w:pPr>
        <w:pStyle w:val="Akapitzlist"/>
        <w:numPr>
          <w:ilvl w:val="0"/>
          <w:numId w:val="3"/>
        </w:numPr>
        <w:spacing w:before="100" w:beforeAutospacing="1" w:after="120" w:afterAutospacing="1" w:line="240" w:lineRule="auto"/>
        <w:rPr>
          <w:b/>
          <w:bCs/>
          <w:color w:val="000000"/>
          <w:sz w:val="20"/>
          <w:szCs w:val="20"/>
        </w:rPr>
      </w:pPr>
      <w:proofErr w:type="spellStart"/>
      <w:r w:rsidRPr="00D16D53">
        <w:rPr>
          <w:b/>
          <w:bCs/>
          <w:color w:val="000000"/>
          <w:sz w:val="20"/>
          <w:szCs w:val="20"/>
        </w:rPr>
        <w:t>Microsomal</w:t>
      </w:r>
      <w:proofErr w:type="spellEnd"/>
      <w:r w:rsidRPr="00D16D53">
        <w:rPr>
          <w:b/>
          <w:bCs/>
          <w:color w:val="000000"/>
          <w:sz w:val="20"/>
          <w:szCs w:val="20"/>
        </w:rPr>
        <w:t xml:space="preserve"> protein </w:t>
      </w:r>
      <w:proofErr w:type="spellStart"/>
      <w:r w:rsidRPr="00D16D53">
        <w:rPr>
          <w:b/>
          <w:bCs/>
          <w:color w:val="000000"/>
          <w:sz w:val="20"/>
          <w:szCs w:val="20"/>
        </w:rPr>
        <w:t>binding</w:t>
      </w:r>
      <w:proofErr w:type="spellEnd"/>
      <w:r w:rsidRPr="00D16D53">
        <w:rPr>
          <w:b/>
          <w:bCs/>
          <w:color w:val="000000"/>
          <w:sz w:val="20"/>
          <w:szCs w:val="20"/>
        </w:rPr>
        <w:t xml:space="preserve"> </w:t>
      </w:r>
    </w:p>
    <w:p w14:paraId="5893DB99" w14:textId="77777777" w:rsidR="00D16D53" w:rsidRPr="00D16D53" w:rsidRDefault="00D16D53" w:rsidP="00DD7705">
      <w:pPr>
        <w:pStyle w:val="Akapitzlist"/>
        <w:numPr>
          <w:ilvl w:val="0"/>
          <w:numId w:val="7"/>
        </w:numPr>
        <w:spacing w:after="100" w:afterAutospacing="1" w:line="240" w:lineRule="auto"/>
        <w:jc w:val="both"/>
        <w:rPr>
          <w:rFonts w:cstheme="minorHAnsi"/>
          <w:sz w:val="20"/>
          <w:szCs w:val="20"/>
          <w:lang w:val="en-GB"/>
        </w:rPr>
      </w:pPr>
      <w:r w:rsidRPr="00D16D53">
        <w:rPr>
          <w:color w:val="000000"/>
          <w:sz w:val="20"/>
          <w:szCs w:val="20"/>
          <w:lang w:val="en-GB"/>
        </w:rPr>
        <w:t xml:space="preserve">species: </w:t>
      </w:r>
      <w:r w:rsidRPr="00D16D53">
        <w:rPr>
          <w:rFonts w:cstheme="minorHAnsi"/>
          <w:sz w:val="20"/>
          <w:szCs w:val="20"/>
          <w:lang w:val="en-GB"/>
        </w:rPr>
        <w:t xml:space="preserve">CD-1 mouse, Wistar/ </w:t>
      </w:r>
      <w:proofErr w:type="spellStart"/>
      <w:r w:rsidRPr="00D16D53">
        <w:rPr>
          <w:rFonts w:cstheme="minorHAnsi"/>
          <w:sz w:val="20"/>
          <w:szCs w:val="20"/>
          <w:lang w:val="en-GB"/>
        </w:rPr>
        <w:t>Spraque</w:t>
      </w:r>
      <w:proofErr w:type="spellEnd"/>
      <w:r w:rsidRPr="00D16D53">
        <w:rPr>
          <w:rFonts w:cstheme="minorHAnsi"/>
          <w:sz w:val="20"/>
          <w:szCs w:val="20"/>
          <w:lang w:val="en-GB"/>
        </w:rPr>
        <w:t xml:space="preserve"> Dawley rat, Beagle dog, Gottingen/BAMA minipig, White New Zealand rabbit, Cynomolgus monkey and human </w:t>
      </w:r>
    </w:p>
    <w:p w14:paraId="3B5C579F" w14:textId="77777777" w:rsidR="00D16D53" w:rsidRPr="00D16D53" w:rsidRDefault="00D16D53" w:rsidP="00DD7705">
      <w:pPr>
        <w:pStyle w:val="Akapitzlist"/>
        <w:numPr>
          <w:ilvl w:val="0"/>
          <w:numId w:val="7"/>
        </w:numPr>
        <w:spacing w:before="100" w:beforeAutospacing="1" w:after="0" w:afterAutospacing="1" w:line="240" w:lineRule="auto"/>
        <w:rPr>
          <w:rFonts w:cstheme="minorHAnsi"/>
          <w:sz w:val="20"/>
          <w:szCs w:val="20"/>
        </w:rPr>
      </w:pPr>
      <w:proofErr w:type="spellStart"/>
      <w:r w:rsidRPr="00D16D53">
        <w:rPr>
          <w:rFonts w:cstheme="minorHAnsi"/>
          <w:sz w:val="20"/>
          <w:szCs w:val="20"/>
        </w:rPr>
        <w:t>method</w:t>
      </w:r>
      <w:proofErr w:type="spellEnd"/>
      <w:r w:rsidRPr="00D16D53">
        <w:rPr>
          <w:rFonts w:cstheme="minorHAnsi"/>
          <w:sz w:val="20"/>
          <w:szCs w:val="20"/>
        </w:rPr>
        <w:t xml:space="preserve">: </w:t>
      </w:r>
      <w:proofErr w:type="spellStart"/>
      <w:r w:rsidRPr="00D16D53">
        <w:rPr>
          <w:rFonts w:cstheme="minorHAnsi"/>
          <w:sz w:val="20"/>
          <w:szCs w:val="20"/>
        </w:rPr>
        <w:t>equilibrium</w:t>
      </w:r>
      <w:proofErr w:type="spellEnd"/>
      <w:r w:rsidRPr="00D16D53">
        <w:rPr>
          <w:rFonts w:cstheme="minorHAnsi"/>
          <w:sz w:val="20"/>
          <w:szCs w:val="20"/>
        </w:rPr>
        <w:t xml:space="preserve"> </w:t>
      </w:r>
      <w:proofErr w:type="spellStart"/>
      <w:r w:rsidRPr="00D16D53">
        <w:rPr>
          <w:rFonts w:cstheme="minorHAnsi"/>
          <w:sz w:val="20"/>
          <w:szCs w:val="20"/>
        </w:rPr>
        <w:t>dialysis</w:t>
      </w:r>
      <w:proofErr w:type="spellEnd"/>
    </w:p>
    <w:p w14:paraId="609A3CD6" w14:textId="77777777" w:rsidR="00D16D53" w:rsidRPr="00D16D53" w:rsidRDefault="00D16D53" w:rsidP="00DD7705">
      <w:pPr>
        <w:pStyle w:val="Akapitzlist"/>
        <w:numPr>
          <w:ilvl w:val="0"/>
          <w:numId w:val="7"/>
        </w:numPr>
        <w:spacing w:before="100" w:beforeAutospacing="1" w:after="0" w:afterAutospacing="1" w:line="240" w:lineRule="auto"/>
        <w:rPr>
          <w:b/>
          <w:bCs/>
          <w:color w:val="000000"/>
          <w:sz w:val="20"/>
          <w:szCs w:val="20"/>
          <w:lang w:val="en-GB"/>
        </w:rPr>
      </w:pPr>
      <w:r w:rsidRPr="00D16D53">
        <w:rPr>
          <w:rFonts w:cstheme="minorHAnsi"/>
          <w:color w:val="000000"/>
          <w:sz w:val="20"/>
          <w:szCs w:val="20"/>
          <w:lang w:val="en-GB"/>
        </w:rPr>
        <w:t xml:space="preserve">1 concentration of a test article, </w:t>
      </w:r>
      <w:r w:rsidRPr="00D16D53">
        <w:rPr>
          <w:color w:val="000000"/>
          <w:sz w:val="20"/>
          <w:szCs w:val="20"/>
          <w:lang w:val="en-GB"/>
        </w:rPr>
        <w:t>3 replicates</w:t>
      </w:r>
    </w:p>
    <w:p w14:paraId="181CC1ED" w14:textId="77777777" w:rsidR="00D16D53" w:rsidRPr="00D16D53" w:rsidRDefault="00D16D53" w:rsidP="00DD7705">
      <w:pPr>
        <w:pStyle w:val="Akapitzlist"/>
        <w:numPr>
          <w:ilvl w:val="0"/>
          <w:numId w:val="7"/>
        </w:numPr>
        <w:spacing w:before="100" w:beforeAutospacing="1" w:after="0" w:afterAutospacing="1" w:line="240" w:lineRule="auto"/>
        <w:rPr>
          <w:b/>
          <w:bCs/>
          <w:color w:val="000000"/>
          <w:sz w:val="20"/>
          <w:szCs w:val="20"/>
          <w:lang w:val="en-GB"/>
        </w:rPr>
      </w:pPr>
      <w:r w:rsidRPr="00D16D53">
        <w:rPr>
          <w:rFonts w:cstheme="minorHAnsi"/>
          <w:color w:val="000000"/>
          <w:sz w:val="20"/>
          <w:szCs w:val="20"/>
          <w:shd w:val="clear" w:color="auto" w:fill="FFFFFF"/>
          <w:lang w:val="en-GB"/>
        </w:rPr>
        <w:t xml:space="preserve">data delivery: </w:t>
      </w:r>
      <w:r w:rsidRPr="00D16D53">
        <w:rPr>
          <w:color w:val="000000"/>
          <w:sz w:val="20"/>
          <w:szCs w:val="20"/>
          <w:lang w:val="en-GB"/>
        </w:rPr>
        <w:t xml:space="preserve">report in English including </w:t>
      </w:r>
      <w:r w:rsidRPr="00D16D53">
        <w:rPr>
          <w:rFonts w:cstheme="minorHAnsi"/>
          <w:color w:val="000000"/>
          <w:sz w:val="20"/>
          <w:szCs w:val="20"/>
          <w:shd w:val="clear" w:color="auto" w:fill="FFFFFF"/>
          <w:lang w:val="en-GB"/>
        </w:rPr>
        <w:t>fraction unbound (f</w:t>
      </w:r>
      <w:r w:rsidRPr="00D16D53">
        <w:rPr>
          <w:rFonts w:cstheme="minorHAnsi"/>
          <w:color w:val="000000"/>
          <w:sz w:val="20"/>
          <w:szCs w:val="20"/>
          <w:bdr w:val="none" w:sz="0" w:space="0" w:color="auto" w:frame="1"/>
          <w:shd w:val="clear" w:color="auto" w:fill="FFFFFF"/>
          <w:vertAlign w:val="subscript"/>
          <w:lang w:val="en-GB"/>
        </w:rPr>
        <w:t>u</w:t>
      </w:r>
      <w:r w:rsidRPr="00D16D53">
        <w:rPr>
          <w:rFonts w:cstheme="minorHAnsi"/>
          <w:color w:val="000000"/>
          <w:sz w:val="20"/>
          <w:szCs w:val="20"/>
          <w:shd w:val="clear" w:color="auto" w:fill="FFFFFF"/>
          <w:lang w:val="en-GB"/>
        </w:rPr>
        <w:t>) and recovery</w:t>
      </w:r>
    </w:p>
    <w:p w14:paraId="22484EF5" w14:textId="77777777" w:rsidR="00D16D53" w:rsidRPr="00D16D53" w:rsidRDefault="00D16D53" w:rsidP="00DD7705">
      <w:pPr>
        <w:pStyle w:val="Akapitzlist"/>
        <w:numPr>
          <w:ilvl w:val="0"/>
          <w:numId w:val="3"/>
        </w:numPr>
        <w:spacing w:before="100" w:beforeAutospacing="1" w:after="0" w:afterAutospacing="1" w:line="240" w:lineRule="auto"/>
        <w:rPr>
          <w:b/>
          <w:bCs/>
          <w:color w:val="000000"/>
          <w:sz w:val="20"/>
          <w:szCs w:val="20"/>
          <w:lang w:val="en-GB"/>
        </w:rPr>
      </w:pPr>
      <w:r w:rsidRPr="00D16D53">
        <w:rPr>
          <w:b/>
          <w:bCs/>
          <w:color w:val="000000"/>
          <w:sz w:val="20"/>
          <w:szCs w:val="20"/>
          <w:lang w:val="en-GB"/>
        </w:rPr>
        <w:lastRenderedPageBreak/>
        <w:t xml:space="preserve">Blood-to-plasma ratio and </w:t>
      </w:r>
      <w:proofErr w:type="spellStart"/>
      <w:r w:rsidRPr="00D16D53">
        <w:rPr>
          <w:b/>
          <w:bCs/>
          <w:color w:val="000000"/>
          <w:sz w:val="20"/>
          <w:szCs w:val="20"/>
          <w:lang w:val="en-GB"/>
        </w:rPr>
        <w:t>ery</w:t>
      </w:r>
      <w:proofErr w:type="spellEnd"/>
      <w:r w:rsidRPr="00D16D53">
        <w:rPr>
          <w:b/>
          <w:bCs/>
          <w:color w:val="000000"/>
          <w:sz w:val="20"/>
          <w:szCs w:val="20"/>
          <w:lang w:val="en-GB"/>
        </w:rPr>
        <w:t xml:space="preserve"> binding </w:t>
      </w:r>
    </w:p>
    <w:p w14:paraId="4B09C6C6" w14:textId="77777777" w:rsidR="00D16D53" w:rsidRPr="00D16D53" w:rsidRDefault="00D16D53" w:rsidP="00DD7705">
      <w:pPr>
        <w:pStyle w:val="Akapitzlist"/>
        <w:numPr>
          <w:ilvl w:val="0"/>
          <w:numId w:val="8"/>
        </w:numPr>
        <w:spacing w:before="120" w:after="120" w:line="240" w:lineRule="auto"/>
        <w:jc w:val="both"/>
        <w:rPr>
          <w:color w:val="000000"/>
          <w:sz w:val="20"/>
          <w:szCs w:val="20"/>
          <w:lang w:val="en-GB"/>
        </w:rPr>
      </w:pPr>
      <w:r w:rsidRPr="00D16D53">
        <w:rPr>
          <w:color w:val="000000"/>
          <w:sz w:val="20"/>
          <w:szCs w:val="20"/>
          <w:lang w:val="en-GB"/>
        </w:rPr>
        <w:t xml:space="preserve">species: CD-1 mouse, Wistar/ </w:t>
      </w:r>
      <w:proofErr w:type="spellStart"/>
      <w:r w:rsidRPr="00D16D53">
        <w:rPr>
          <w:color w:val="000000"/>
          <w:sz w:val="20"/>
          <w:szCs w:val="20"/>
          <w:lang w:val="en-GB"/>
        </w:rPr>
        <w:t>Spraque</w:t>
      </w:r>
      <w:proofErr w:type="spellEnd"/>
      <w:r w:rsidRPr="00D16D53">
        <w:rPr>
          <w:color w:val="000000"/>
          <w:sz w:val="20"/>
          <w:szCs w:val="20"/>
          <w:lang w:val="en-GB"/>
        </w:rPr>
        <w:t xml:space="preserve"> Dawley rat, Beagle dog, Gottingen/BAMA minipig, White New Zealand rabbit, Cynomolgus monkey and human</w:t>
      </w:r>
    </w:p>
    <w:p w14:paraId="511B757E" w14:textId="77777777" w:rsidR="00D16D53" w:rsidRPr="00D16D53" w:rsidRDefault="00D16D53" w:rsidP="00DD7705">
      <w:pPr>
        <w:pStyle w:val="Akapitzlist"/>
        <w:numPr>
          <w:ilvl w:val="0"/>
          <w:numId w:val="8"/>
        </w:numPr>
        <w:spacing w:before="120" w:after="120" w:line="240" w:lineRule="auto"/>
        <w:jc w:val="both"/>
        <w:rPr>
          <w:color w:val="000000"/>
          <w:sz w:val="20"/>
          <w:szCs w:val="20"/>
          <w:lang w:val="en-GB"/>
        </w:rPr>
      </w:pPr>
      <w:r w:rsidRPr="00D16D53">
        <w:rPr>
          <w:color w:val="000000"/>
          <w:sz w:val="20"/>
          <w:szCs w:val="20"/>
          <w:lang w:val="en-GB"/>
        </w:rPr>
        <w:t>incubation time at least 60 min, 3 replicates</w:t>
      </w:r>
    </w:p>
    <w:p w14:paraId="25773B44" w14:textId="635CF68A" w:rsidR="00D16D53" w:rsidRDefault="00D16D53" w:rsidP="00DD7705">
      <w:pPr>
        <w:pStyle w:val="Akapitzlist"/>
        <w:numPr>
          <w:ilvl w:val="0"/>
          <w:numId w:val="8"/>
        </w:numPr>
        <w:spacing w:before="120" w:after="120" w:line="240" w:lineRule="auto"/>
        <w:jc w:val="both"/>
        <w:rPr>
          <w:rFonts w:cstheme="minorHAnsi"/>
          <w:sz w:val="20"/>
          <w:szCs w:val="20"/>
          <w:lang w:val="en-GB"/>
        </w:rPr>
      </w:pPr>
      <w:r w:rsidRPr="00D16D53">
        <w:rPr>
          <w:color w:val="000000"/>
          <w:sz w:val="20"/>
          <w:szCs w:val="20"/>
          <w:lang w:val="en-GB"/>
        </w:rPr>
        <w:t>data delivery: report in English including mean blood to plasma ratio</w:t>
      </w:r>
      <w:r w:rsidRPr="00D16D53">
        <w:rPr>
          <w:rFonts w:cstheme="minorHAnsi"/>
          <w:sz w:val="20"/>
          <w:szCs w:val="20"/>
          <w:lang w:val="en-GB"/>
        </w:rPr>
        <w:t xml:space="preserve"> </w:t>
      </w:r>
    </w:p>
    <w:p w14:paraId="006AF2F0" w14:textId="77777777" w:rsidR="005A24CF" w:rsidRDefault="005A24CF" w:rsidP="005A24CF">
      <w:pPr>
        <w:pStyle w:val="Akapitzlist"/>
        <w:spacing w:before="120" w:after="120" w:line="240" w:lineRule="auto"/>
        <w:jc w:val="both"/>
        <w:rPr>
          <w:rFonts w:cstheme="minorHAnsi"/>
          <w:sz w:val="20"/>
          <w:szCs w:val="20"/>
          <w:lang w:val="en-GB"/>
        </w:rPr>
      </w:pPr>
    </w:p>
    <w:p w14:paraId="357D4283" w14:textId="6D5EA3BD" w:rsidR="005A24CF" w:rsidRPr="005A24CF" w:rsidRDefault="005A24CF" w:rsidP="005A24CF">
      <w:pPr>
        <w:spacing w:after="0" w:line="240" w:lineRule="auto"/>
        <w:rPr>
          <w:rFonts w:cstheme="minorHAnsi"/>
          <w:b/>
          <w:bCs/>
          <w:iCs/>
          <w:sz w:val="20"/>
          <w:szCs w:val="20"/>
          <w:u w:val="single"/>
          <w:lang w:val="en-US"/>
        </w:rPr>
      </w:pPr>
      <w:r w:rsidRPr="005A24CF">
        <w:rPr>
          <w:rFonts w:cstheme="minorHAnsi"/>
          <w:b/>
          <w:bCs/>
          <w:iCs/>
          <w:sz w:val="20"/>
          <w:szCs w:val="20"/>
          <w:u w:val="single"/>
          <w:lang w:val="en-US"/>
        </w:rPr>
        <w:t>The ordering party will provide</w:t>
      </w:r>
      <w:r>
        <w:rPr>
          <w:rFonts w:cstheme="minorHAnsi"/>
          <w:b/>
          <w:bCs/>
          <w:iCs/>
          <w:sz w:val="20"/>
          <w:szCs w:val="20"/>
          <w:u w:val="single"/>
          <w:lang w:val="en-US"/>
        </w:rPr>
        <w:t>:</w:t>
      </w:r>
    </w:p>
    <w:p w14:paraId="216D749B" w14:textId="77777777" w:rsidR="005A24CF" w:rsidRPr="005A24CF" w:rsidRDefault="005A24CF" w:rsidP="00DD7705">
      <w:pPr>
        <w:pStyle w:val="Akapitzlist"/>
        <w:numPr>
          <w:ilvl w:val="0"/>
          <w:numId w:val="9"/>
        </w:numPr>
        <w:spacing w:after="0" w:line="240" w:lineRule="auto"/>
        <w:rPr>
          <w:rFonts w:asciiTheme="minorHAnsi" w:hAnsiTheme="minorHAnsi" w:cstheme="minorHAnsi"/>
          <w:iCs/>
          <w:sz w:val="20"/>
          <w:szCs w:val="20"/>
        </w:rPr>
      </w:pPr>
      <w:proofErr w:type="spellStart"/>
      <w:r w:rsidRPr="005A24CF">
        <w:rPr>
          <w:rFonts w:asciiTheme="minorHAnsi" w:hAnsiTheme="minorHAnsi" w:cstheme="minorHAnsi"/>
          <w:iCs/>
          <w:sz w:val="20"/>
          <w:szCs w:val="20"/>
        </w:rPr>
        <w:t>tested</w:t>
      </w:r>
      <w:proofErr w:type="spellEnd"/>
      <w:r w:rsidRPr="005A24CF">
        <w:rPr>
          <w:rFonts w:asciiTheme="minorHAnsi" w:hAnsiTheme="minorHAnsi" w:cstheme="minorHAnsi"/>
          <w:iCs/>
          <w:sz w:val="20"/>
          <w:szCs w:val="20"/>
        </w:rPr>
        <w:t xml:space="preserve"> </w:t>
      </w:r>
      <w:proofErr w:type="spellStart"/>
      <w:r w:rsidRPr="005A24CF">
        <w:rPr>
          <w:rFonts w:asciiTheme="minorHAnsi" w:hAnsiTheme="minorHAnsi" w:cstheme="minorHAnsi"/>
          <w:iCs/>
          <w:sz w:val="20"/>
          <w:szCs w:val="20"/>
        </w:rPr>
        <w:t>item</w:t>
      </w:r>
      <w:proofErr w:type="spellEnd"/>
      <w:r w:rsidRPr="005A24CF">
        <w:rPr>
          <w:rFonts w:asciiTheme="minorHAnsi" w:hAnsiTheme="minorHAnsi" w:cstheme="minorHAnsi"/>
          <w:iCs/>
          <w:sz w:val="20"/>
          <w:szCs w:val="20"/>
        </w:rPr>
        <w:t xml:space="preserve"> (PKL-021)</w:t>
      </w:r>
    </w:p>
    <w:p w14:paraId="7F1F300D" w14:textId="77777777" w:rsidR="005A24CF" w:rsidRPr="005A24CF" w:rsidRDefault="005A24CF" w:rsidP="00DD7705">
      <w:pPr>
        <w:pStyle w:val="Akapitzlist"/>
        <w:numPr>
          <w:ilvl w:val="0"/>
          <w:numId w:val="9"/>
        </w:numPr>
        <w:spacing w:after="0" w:line="240" w:lineRule="auto"/>
        <w:rPr>
          <w:rFonts w:asciiTheme="minorHAnsi" w:hAnsiTheme="minorHAnsi" w:cstheme="minorHAnsi"/>
          <w:iCs/>
          <w:sz w:val="20"/>
          <w:szCs w:val="20"/>
        </w:rPr>
      </w:pPr>
      <w:proofErr w:type="spellStart"/>
      <w:r w:rsidRPr="005A24CF">
        <w:rPr>
          <w:rFonts w:asciiTheme="minorHAnsi" w:hAnsiTheme="minorHAnsi" w:cstheme="minorHAnsi"/>
          <w:iCs/>
          <w:sz w:val="20"/>
          <w:szCs w:val="20"/>
        </w:rPr>
        <w:t>internal</w:t>
      </w:r>
      <w:proofErr w:type="spellEnd"/>
      <w:r w:rsidRPr="005A24CF">
        <w:rPr>
          <w:rFonts w:asciiTheme="minorHAnsi" w:hAnsiTheme="minorHAnsi" w:cstheme="minorHAnsi"/>
          <w:iCs/>
          <w:sz w:val="20"/>
          <w:szCs w:val="20"/>
        </w:rPr>
        <w:t xml:space="preserve"> standard (PKL-023)</w:t>
      </w:r>
    </w:p>
    <w:p w14:paraId="6A836971" w14:textId="7307F760" w:rsidR="005A24CF" w:rsidRDefault="005A24CF" w:rsidP="00DD7705">
      <w:pPr>
        <w:pStyle w:val="Akapitzlist"/>
        <w:numPr>
          <w:ilvl w:val="0"/>
          <w:numId w:val="9"/>
        </w:numPr>
        <w:spacing w:after="0" w:line="240" w:lineRule="auto"/>
        <w:rPr>
          <w:rFonts w:asciiTheme="minorHAnsi" w:hAnsiTheme="minorHAnsi" w:cstheme="minorHAnsi"/>
          <w:iCs/>
          <w:sz w:val="20"/>
          <w:szCs w:val="20"/>
          <w:lang w:val="en-GB"/>
        </w:rPr>
      </w:pPr>
      <w:r w:rsidRPr="005A24CF">
        <w:rPr>
          <w:rFonts w:asciiTheme="minorHAnsi" w:hAnsiTheme="minorHAnsi" w:cstheme="minorHAnsi"/>
          <w:iCs/>
          <w:sz w:val="20"/>
          <w:szCs w:val="20"/>
          <w:lang w:val="en-GB"/>
        </w:rPr>
        <w:t>the analytical procedure for the determination of the test item in rat/dog plasma by LC-MS/MS</w:t>
      </w:r>
    </w:p>
    <w:p w14:paraId="13AA171D" w14:textId="411F9021" w:rsidR="005A24CF" w:rsidRDefault="005A24CF" w:rsidP="005A24CF">
      <w:pPr>
        <w:spacing w:after="0" w:line="240" w:lineRule="auto"/>
        <w:rPr>
          <w:rFonts w:cstheme="minorHAnsi"/>
          <w:iCs/>
          <w:sz w:val="20"/>
          <w:szCs w:val="20"/>
          <w:lang w:val="en-GB"/>
        </w:rPr>
      </w:pPr>
    </w:p>
    <w:p w14:paraId="71CF5D5A" w14:textId="4812BA8D" w:rsidR="005A24CF" w:rsidRPr="005A24CF" w:rsidRDefault="005A24CF" w:rsidP="005A24CF">
      <w:pPr>
        <w:jc w:val="both"/>
        <w:rPr>
          <w:iCs/>
          <w:sz w:val="20"/>
          <w:szCs w:val="20"/>
          <w:lang w:val="en-GB"/>
        </w:rPr>
      </w:pPr>
      <w:r w:rsidRPr="005A24CF">
        <w:rPr>
          <w:iCs/>
          <w:sz w:val="20"/>
          <w:szCs w:val="20"/>
          <w:lang w:val="en-GB"/>
        </w:rPr>
        <w:t xml:space="preserve">At the end of each study the study report should be provided, including the parameters specified above in the study description Taking into account what the Ordering party provides, the Contractor will provide all materials, reagents and equipment necessary for performing the services.  All data generated through the service should be available for the Ordering Party or sent to Ordering Party upon request. until 31 December 2023. </w:t>
      </w:r>
    </w:p>
    <w:p w14:paraId="72E90E1D" w14:textId="77777777" w:rsidR="005A24CF" w:rsidRPr="005A24CF" w:rsidRDefault="005A24CF" w:rsidP="005A24CF">
      <w:pPr>
        <w:spacing w:after="0" w:line="240" w:lineRule="auto"/>
        <w:rPr>
          <w:rFonts w:cstheme="minorHAnsi"/>
          <w:iCs/>
          <w:sz w:val="20"/>
          <w:szCs w:val="20"/>
          <w:lang w:val="en-GB"/>
        </w:rPr>
      </w:pPr>
    </w:p>
    <w:p w14:paraId="0174E5D1" w14:textId="77777777" w:rsidR="00827049" w:rsidRPr="00827049" w:rsidRDefault="00827049" w:rsidP="00827049">
      <w:pPr>
        <w:spacing w:after="0" w:line="240" w:lineRule="auto"/>
        <w:rPr>
          <w:rFonts w:cstheme="minorHAnsi"/>
          <w:b/>
          <w:bCs/>
          <w:iCs/>
          <w:sz w:val="20"/>
          <w:szCs w:val="20"/>
          <w:u w:val="single"/>
          <w:lang w:val="en-GB"/>
        </w:rPr>
      </w:pPr>
      <w:r w:rsidRPr="00827049">
        <w:rPr>
          <w:rFonts w:cstheme="minorHAnsi"/>
          <w:b/>
          <w:bCs/>
          <w:iCs/>
          <w:sz w:val="20"/>
          <w:szCs w:val="20"/>
          <w:u w:val="single"/>
          <w:lang w:val="en-GB"/>
        </w:rPr>
        <w:t xml:space="preserve">Deadline for delivering the procurement order: </w:t>
      </w:r>
    </w:p>
    <w:p w14:paraId="6FC2D3B7" w14:textId="77777777" w:rsidR="00827049" w:rsidRPr="00827049" w:rsidRDefault="00827049" w:rsidP="00DD7705">
      <w:pPr>
        <w:pStyle w:val="Akapitzlist"/>
        <w:numPr>
          <w:ilvl w:val="0"/>
          <w:numId w:val="10"/>
        </w:numPr>
        <w:spacing w:after="0" w:line="240" w:lineRule="auto"/>
        <w:ind w:left="284" w:hanging="284"/>
        <w:jc w:val="both"/>
        <w:rPr>
          <w:rFonts w:cs="Calibri"/>
          <w:iCs/>
          <w:sz w:val="20"/>
          <w:szCs w:val="20"/>
          <w:lang w:val="en-GB"/>
        </w:rPr>
      </w:pPr>
      <w:r w:rsidRPr="00827049">
        <w:rPr>
          <w:rFonts w:cs="Calibri"/>
          <w:iCs/>
          <w:sz w:val="20"/>
          <w:szCs w:val="20"/>
          <w:lang w:val="en-GB"/>
        </w:rPr>
        <w:t>Planned date of signing the contract March 2023</w:t>
      </w:r>
    </w:p>
    <w:p w14:paraId="204105F9" w14:textId="43C258B7" w:rsidR="00827049" w:rsidRPr="00827049" w:rsidRDefault="00827049" w:rsidP="00DD7705">
      <w:pPr>
        <w:pStyle w:val="Akapitzlist"/>
        <w:numPr>
          <w:ilvl w:val="0"/>
          <w:numId w:val="10"/>
        </w:numPr>
        <w:spacing w:after="0" w:line="240" w:lineRule="auto"/>
        <w:ind w:left="284" w:hanging="284"/>
        <w:jc w:val="both"/>
        <w:rPr>
          <w:rFonts w:cs="Calibri"/>
          <w:iCs/>
          <w:sz w:val="20"/>
          <w:szCs w:val="20"/>
          <w:lang w:val="en-GB"/>
        </w:rPr>
      </w:pPr>
      <w:r w:rsidRPr="00827049">
        <w:rPr>
          <w:rFonts w:cs="Calibri"/>
          <w:iCs/>
          <w:sz w:val="20"/>
          <w:szCs w:val="20"/>
          <w:lang w:val="en-GB"/>
        </w:rPr>
        <w:t xml:space="preserve">Planned date of shipping the research materials: March 2023 </w:t>
      </w:r>
    </w:p>
    <w:p w14:paraId="7A5F42E1" w14:textId="6C9C7603" w:rsidR="00827049" w:rsidRPr="00827049" w:rsidRDefault="00827049" w:rsidP="00DD7705">
      <w:pPr>
        <w:pStyle w:val="Akapitzlist"/>
        <w:numPr>
          <w:ilvl w:val="0"/>
          <w:numId w:val="10"/>
        </w:numPr>
        <w:spacing w:after="0" w:line="240" w:lineRule="auto"/>
        <w:ind w:left="284" w:hanging="284"/>
        <w:jc w:val="both"/>
        <w:rPr>
          <w:rFonts w:asciiTheme="minorHAnsi" w:hAnsiTheme="minorHAnsi" w:cstheme="minorHAnsi"/>
          <w:i/>
          <w:lang w:val="en-GB"/>
        </w:rPr>
      </w:pPr>
      <w:r w:rsidRPr="00827049">
        <w:rPr>
          <w:rFonts w:cs="Calibri"/>
          <w:iCs/>
          <w:sz w:val="20"/>
          <w:szCs w:val="20"/>
          <w:lang w:val="en-GB"/>
        </w:rPr>
        <w:t>The Ordering Party requires completion of all studies and submission of all study reports no later than 45 days from providing all required materials to the Contractor.</w:t>
      </w:r>
    </w:p>
    <w:p w14:paraId="49684F7E" w14:textId="198E1765" w:rsidR="00827049" w:rsidRDefault="00827049" w:rsidP="00DD7705">
      <w:pPr>
        <w:pStyle w:val="Akapitzlist"/>
        <w:numPr>
          <w:ilvl w:val="0"/>
          <w:numId w:val="10"/>
        </w:numPr>
        <w:spacing w:after="0" w:line="240" w:lineRule="auto"/>
        <w:ind w:left="284" w:hanging="284"/>
        <w:jc w:val="both"/>
        <w:rPr>
          <w:rFonts w:asciiTheme="minorHAnsi" w:hAnsiTheme="minorHAnsi" w:cstheme="minorHAnsi"/>
          <w:iCs/>
          <w:sz w:val="20"/>
          <w:szCs w:val="20"/>
          <w:lang w:val="en-GB"/>
        </w:rPr>
      </w:pPr>
      <w:r>
        <w:rPr>
          <w:rFonts w:asciiTheme="minorHAnsi" w:hAnsiTheme="minorHAnsi" w:cstheme="minorHAnsi"/>
          <w:iCs/>
          <w:sz w:val="20"/>
          <w:szCs w:val="20"/>
          <w:lang w:val="en-GB"/>
        </w:rPr>
        <w:t>T</w:t>
      </w:r>
      <w:r w:rsidRPr="00827049">
        <w:rPr>
          <w:rFonts w:asciiTheme="minorHAnsi" w:hAnsiTheme="minorHAnsi" w:cstheme="minorHAnsi"/>
          <w:iCs/>
          <w:sz w:val="20"/>
          <w:szCs w:val="20"/>
          <w:lang w:val="en-GB"/>
        </w:rPr>
        <w:t>he term of the contract</w:t>
      </w:r>
      <w:r>
        <w:rPr>
          <w:rFonts w:asciiTheme="minorHAnsi" w:hAnsiTheme="minorHAnsi" w:cstheme="minorHAnsi"/>
          <w:iCs/>
          <w:sz w:val="20"/>
          <w:szCs w:val="20"/>
          <w:lang w:val="en-GB"/>
        </w:rPr>
        <w:t>: to 31.12.2023</w:t>
      </w:r>
    </w:p>
    <w:p w14:paraId="7B244AA4" w14:textId="77777777" w:rsidR="003A4DA2" w:rsidRPr="00827049" w:rsidRDefault="003A4DA2" w:rsidP="003A4DA2">
      <w:pPr>
        <w:pStyle w:val="Akapitzlist"/>
        <w:spacing w:after="0" w:line="240" w:lineRule="auto"/>
        <w:ind w:left="284"/>
        <w:jc w:val="both"/>
        <w:rPr>
          <w:rFonts w:asciiTheme="minorHAnsi" w:hAnsiTheme="minorHAnsi" w:cstheme="minorHAnsi"/>
          <w:iCs/>
          <w:sz w:val="20"/>
          <w:szCs w:val="20"/>
          <w:lang w:val="en-GB"/>
        </w:rPr>
      </w:pPr>
    </w:p>
    <w:p w14:paraId="112AE419" w14:textId="22DDF589" w:rsidR="005A24CF" w:rsidRPr="003A4DA2" w:rsidRDefault="003A4DA2" w:rsidP="005A24CF">
      <w:pPr>
        <w:spacing w:before="120" w:after="120" w:line="240" w:lineRule="auto"/>
        <w:jc w:val="both"/>
        <w:rPr>
          <w:rFonts w:cstheme="minorHAnsi"/>
          <w:iCs/>
          <w:sz w:val="20"/>
          <w:szCs w:val="20"/>
          <w:lang w:val="en-GB"/>
        </w:rPr>
      </w:pPr>
      <w:r w:rsidRPr="003A4DA2">
        <w:rPr>
          <w:rFonts w:cstheme="minorHAnsi"/>
          <w:iCs/>
          <w:sz w:val="20"/>
          <w:szCs w:val="20"/>
          <w:lang w:val="en-GB"/>
        </w:rPr>
        <w:t>73111000-3 – research laboratory services</w:t>
      </w:r>
    </w:p>
    <w:p w14:paraId="0E4C16C7" w14:textId="77777777" w:rsidR="00827049" w:rsidRPr="00827049" w:rsidRDefault="00827049" w:rsidP="00827049">
      <w:pPr>
        <w:jc w:val="both"/>
        <w:rPr>
          <w:iCs/>
          <w:sz w:val="20"/>
          <w:szCs w:val="20"/>
          <w:lang w:val="en-GB"/>
        </w:rPr>
      </w:pPr>
      <w:r w:rsidRPr="00827049">
        <w:rPr>
          <w:iCs/>
          <w:sz w:val="20"/>
          <w:szCs w:val="20"/>
          <w:lang w:val="en-GB"/>
        </w:rPr>
        <w:t>Under this Request for proposal, the Ordering Party does not allow the submission of partial bids.</w:t>
      </w:r>
    </w:p>
    <w:p w14:paraId="1E3A7C56" w14:textId="44C0BF1E" w:rsidR="00D16D53" w:rsidRPr="00D16D53" w:rsidRDefault="00D16D53" w:rsidP="006961A0">
      <w:pPr>
        <w:spacing w:after="0" w:line="240" w:lineRule="auto"/>
        <w:rPr>
          <w:sz w:val="20"/>
          <w:szCs w:val="20"/>
          <w:lang w:val="en-GB"/>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26EE079"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 xml:space="preserve">ll be guided by the </w:t>
      </w:r>
      <w:r w:rsidR="003A4DA2">
        <w:rPr>
          <w:rFonts w:ascii="Calibri" w:hAnsi="Calibri" w:cstheme="minorHAnsi"/>
          <w:sz w:val="20"/>
          <w:szCs w:val="20"/>
          <w:lang w:val="en-GB"/>
        </w:rPr>
        <w:t xml:space="preserve">following </w:t>
      </w:r>
      <w:r w:rsidR="00012FAC" w:rsidRPr="00D91677">
        <w:rPr>
          <w:rFonts w:ascii="Calibri" w:hAnsi="Calibri" w:cstheme="minorHAnsi"/>
          <w:sz w:val="20"/>
          <w:szCs w:val="20"/>
          <w:lang w:val="en-GB"/>
        </w:rPr>
        <w:t>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tbl>
      <w:tblPr>
        <w:tblStyle w:val="Tabela-Siatka"/>
        <w:tblW w:w="0" w:type="auto"/>
        <w:tblInd w:w="108" w:type="dxa"/>
        <w:tblLook w:val="04A0" w:firstRow="1" w:lastRow="0" w:firstColumn="1" w:lastColumn="0" w:noHBand="0" w:noVBand="1"/>
      </w:tblPr>
      <w:tblGrid>
        <w:gridCol w:w="456"/>
        <w:gridCol w:w="5260"/>
        <w:gridCol w:w="3192"/>
      </w:tblGrid>
      <w:tr w:rsidR="003A4DA2" w:rsidRPr="00622A84" w14:paraId="3015AE14" w14:textId="77777777" w:rsidTr="003A4DA2">
        <w:tc>
          <w:tcPr>
            <w:tcW w:w="456" w:type="dxa"/>
          </w:tcPr>
          <w:p w14:paraId="10C7EC23" w14:textId="77777777" w:rsidR="003A4DA2" w:rsidRPr="00622A84" w:rsidRDefault="003A4DA2" w:rsidP="00656165">
            <w:pPr>
              <w:rPr>
                <w:sz w:val="20"/>
                <w:szCs w:val="20"/>
              </w:rPr>
            </w:pPr>
            <w:r w:rsidRPr="00622A84">
              <w:rPr>
                <w:sz w:val="20"/>
                <w:szCs w:val="20"/>
              </w:rPr>
              <w:t>Lp.</w:t>
            </w:r>
          </w:p>
        </w:tc>
        <w:tc>
          <w:tcPr>
            <w:tcW w:w="5260" w:type="dxa"/>
          </w:tcPr>
          <w:p w14:paraId="60BAA785" w14:textId="038557C5" w:rsidR="003A4DA2" w:rsidRPr="00622A84" w:rsidRDefault="003A4DA2" w:rsidP="00656165">
            <w:pPr>
              <w:rPr>
                <w:sz w:val="20"/>
                <w:szCs w:val="20"/>
              </w:rPr>
            </w:pPr>
            <w:proofErr w:type="spellStart"/>
            <w:r>
              <w:rPr>
                <w:sz w:val="20"/>
                <w:szCs w:val="20"/>
              </w:rPr>
              <w:t>Description</w:t>
            </w:r>
            <w:proofErr w:type="spellEnd"/>
          </w:p>
        </w:tc>
        <w:tc>
          <w:tcPr>
            <w:tcW w:w="3192" w:type="dxa"/>
          </w:tcPr>
          <w:p w14:paraId="73B98AFB" w14:textId="4C0B0412" w:rsidR="003A4DA2" w:rsidRPr="00622A84" w:rsidRDefault="003A4DA2" w:rsidP="00656165">
            <w:pPr>
              <w:rPr>
                <w:sz w:val="20"/>
                <w:szCs w:val="20"/>
              </w:rPr>
            </w:pPr>
            <w:proofErr w:type="spellStart"/>
            <w:r>
              <w:rPr>
                <w:sz w:val="20"/>
                <w:szCs w:val="20"/>
              </w:rPr>
              <w:t>Criterion</w:t>
            </w:r>
            <w:proofErr w:type="spellEnd"/>
            <w:r>
              <w:rPr>
                <w:sz w:val="20"/>
                <w:szCs w:val="20"/>
              </w:rPr>
              <w:t xml:space="preserve"> </w:t>
            </w:r>
          </w:p>
        </w:tc>
      </w:tr>
      <w:tr w:rsidR="003A4DA2" w:rsidRPr="00622A84" w14:paraId="0CD40D4A" w14:textId="77777777" w:rsidTr="003A4DA2">
        <w:tc>
          <w:tcPr>
            <w:tcW w:w="456" w:type="dxa"/>
          </w:tcPr>
          <w:p w14:paraId="4AC40883" w14:textId="77777777" w:rsidR="003A4DA2" w:rsidRPr="00622A84" w:rsidRDefault="003A4DA2" w:rsidP="00656165">
            <w:pPr>
              <w:rPr>
                <w:sz w:val="20"/>
                <w:szCs w:val="20"/>
              </w:rPr>
            </w:pPr>
            <w:r w:rsidRPr="00622A84">
              <w:rPr>
                <w:sz w:val="20"/>
                <w:szCs w:val="20"/>
              </w:rPr>
              <w:t>1.</w:t>
            </w:r>
          </w:p>
        </w:tc>
        <w:tc>
          <w:tcPr>
            <w:tcW w:w="5260" w:type="dxa"/>
          </w:tcPr>
          <w:p w14:paraId="5D875BDC" w14:textId="65B5427F" w:rsidR="003A4DA2" w:rsidRPr="00622A84" w:rsidRDefault="003A4DA2" w:rsidP="00656165">
            <w:pPr>
              <w:rPr>
                <w:sz w:val="20"/>
                <w:szCs w:val="20"/>
              </w:rPr>
            </w:pPr>
            <w:proofErr w:type="spellStart"/>
            <w:r>
              <w:rPr>
                <w:sz w:val="20"/>
                <w:szCs w:val="20"/>
              </w:rPr>
              <w:t>Price</w:t>
            </w:r>
            <w:proofErr w:type="spellEnd"/>
            <w:r>
              <w:rPr>
                <w:sz w:val="20"/>
                <w:szCs w:val="20"/>
              </w:rPr>
              <w:t xml:space="preserve"> (C)</w:t>
            </w:r>
          </w:p>
        </w:tc>
        <w:tc>
          <w:tcPr>
            <w:tcW w:w="3192" w:type="dxa"/>
          </w:tcPr>
          <w:p w14:paraId="2CDBF1B2" w14:textId="77777777" w:rsidR="003A4DA2" w:rsidRPr="00622A84" w:rsidRDefault="003A4DA2" w:rsidP="00656165">
            <w:pPr>
              <w:rPr>
                <w:sz w:val="20"/>
                <w:szCs w:val="20"/>
              </w:rPr>
            </w:pPr>
            <w:r>
              <w:rPr>
                <w:sz w:val="20"/>
                <w:szCs w:val="20"/>
              </w:rPr>
              <w:t>90</w:t>
            </w:r>
          </w:p>
        </w:tc>
      </w:tr>
      <w:tr w:rsidR="003A4DA2" w:rsidRPr="00622A84" w14:paraId="0FCB4E64" w14:textId="77777777" w:rsidTr="003A4DA2">
        <w:tc>
          <w:tcPr>
            <w:tcW w:w="456" w:type="dxa"/>
          </w:tcPr>
          <w:p w14:paraId="3E0E7845" w14:textId="77777777" w:rsidR="003A4DA2" w:rsidRPr="00622A84" w:rsidRDefault="003A4DA2" w:rsidP="00656165">
            <w:pPr>
              <w:rPr>
                <w:sz w:val="20"/>
                <w:szCs w:val="20"/>
              </w:rPr>
            </w:pPr>
            <w:r w:rsidRPr="00622A84">
              <w:rPr>
                <w:sz w:val="20"/>
                <w:szCs w:val="20"/>
              </w:rPr>
              <w:t>2.</w:t>
            </w:r>
          </w:p>
        </w:tc>
        <w:tc>
          <w:tcPr>
            <w:tcW w:w="5260" w:type="dxa"/>
          </w:tcPr>
          <w:p w14:paraId="4C28C53C" w14:textId="6B4E69AB" w:rsidR="003A4DA2" w:rsidRPr="00622A84" w:rsidRDefault="00E468F6" w:rsidP="00656165">
            <w:pPr>
              <w:rPr>
                <w:sz w:val="20"/>
                <w:szCs w:val="20"/>
              </w:rPr>
            </w:pPr>
            <w:r>
              <w:rPr>
                <w:sz w:val="20"/>
                <w:szCs w:val="20"/>
              </w:rPr>
              <w:t xml:space="preserve">Order </w:t>
            </w:r>
            <w:proofErr w:type="spellStart"/>
            <w:r>
              <w:rPr>
                <w:sz w:val="20"/>
                <w:szCs w:val="20"/>
              </w:rPr>
              <w:t>completion</w:t>
            </w:r>
            <w:proofErr w:type="spellEnd"/>
            <w:r>
              <w:rPr>
                <w:sz w:val="20"/>
                <w:szCs w:val="20"/>
              </w:rPr>
              <w:t xml:space="preserve"> </w:t>
            </w:r>
            <w:proofErr w:type="spellStart"/>
            <w:r>
              <w:rPr>
                <w:sz w:val="20"/>
                <w:szCs w:val="20"/>
              </w:rPr>
              <w:t>date</w:t>
            </w:r>
            <w:proofErr w:type="spellEnd"/>
            <w:r w:rsidR="00EC4B02" w:rsidRPr="00EC4B02">
              <w:rPr>
                <w:sz w:val="20"/>
                <w:szCs w:val="20"/>
              </w:rPr>
              <w:t xml:space="preserve"> </w:t>
            </w:r>
            <w:r w:rsidR="003A4DA2">
              <w:rPr>
                <w:sz w:val="20"/>
                <w:szCs w:val="20"/>
              </w:rPr>
              <w:t>(D</w:t>
            </w:r>
            <w:r w:rsidR="003A4DA2" w:rsidRPr="00622A84">
              <w:rPr>
                <w:sz w:val="20"/>
                <w:szCs w:val="20"/>
              </w:rPr>
              <w:t>)</w:t>
            </w:r>
          </w:p>
        </w:tc>
        <w:tc>
          <w:tcPr>
            <w:tcW w:w="3192" w:type="dxa"/>
          </w:tcPr>
          <w:p w14:paraId="5323644A" w14:textId="77777777" w:rsidR="003A4DA2" w:rsidRPr="00622A84" w:rsidRDefault="003A4DA2" w:rsidP="00656165">
            <w:pPr>
              <w:rPr>
                <w:sz w:val="20"/>
                <w:szCs w:val="20"/>
              </w:rPr>
            </w:pPr>
            <w:r>
              <w:rPr>
                <w:sz w:val="20"/>
                <w:szCs w:val="20"/>
              </w:rPr>
              <w:t>10</w:t>
            </w:r>
          </w:p>
        </w:tc>
      </w:tr>
      <w:tr w:rsidR="003A4DA2" w:rsidRPr="00622A84" w14:paraId="709A5F55" w14:textId="77777777" w:rsidTr="003A4DA2">
        <w:tc>
          <w:tcPr>
            <w:tcW w:w="456" w:type="dxa"/>
          </w:tcPr>
          <w:p w14:paraId="058B0E33" w14:textId="77777777" w:rsidR="003A4DA2" w:rsidRPr="00622A84" w:rsidRDefault="003A4DA2" w:rsidP="00656165">
            <w:pPr>
              <w:rPr>
                <w:sz w:val="20"/>
                <w:szCs w:val="20"/>
              </w:rPr>
            </w:pPr>
            <w:r w:rsidRPr="00622A84">
              <w:rPr>
                <w:sz w:val="20"/>
                <w:szCs w:val="20"/>
              </w:rPr>
              <w:t>3.</w:t>
            </w:r>
          </w:p>
        </w:tc>
        <w:tc>
          <w:tcPr>
            <w:tcW w:w="5260" w:type="dxa"/>
          </w:tcPr>
          <w:p w14:paraId="42AC7306" w14:textId="1F7172E4" w:rsidR="003A4DA2" w:rsidRPr="00622A84" w:rsidRDefault="003A4DA2" w:rsidP="00656165">
            <w:pPr>
              <w:rPr>
                <w:sz w:val="20"/>
                <w:szCs w:val="20"/>
              </w:rPr>
            </w:pPr>
            <w:r>
              <w:rPr>
                <w:sz w:val="20"/>
                <w:szCs w:val="20"/>
              </w:rPr>
              <w:t>Total</w:t>
            </w:r>
          </w:p>
        </w:tc>
        <w:tc>
          <w:tcPr>
            <w:tcW w:w="3192" w:type="dxa"/>
          </w:tcPr>
          <w:p w14:paraId="6CC5855E" w14:textId="77777777" w:rsidR="003A4DA2" w:rsidRPr="00622A84" w:rsidRDefault="003A4DA2" w:rsidP="00656165">
            <w:pPr>
              <w:rPr>
                <w:sz w:val="20"/>
                <w:szCs w:val="20"/>
              </w:rPr>
            </w:pPr>
            <w:r w:rsidRPr="00622A84">
              <w:rPr>
                <w:sz w:val="20"/>
                <w:szCs w:val="20"/>
              </w:rPr>
              <w:t>100</w:t>
            </w:r>
          </w:p>
        </w:tc>
      </w:tr>
    </w:tbl>
    <w:p w14:paraId="6D482734" w14:textId="77777777" w:rsidR="003A4DA2" w:rsidRPr="00622A84" w:rsidRDefault="003A4DA2" w:rsidP="003A4DA2">
      <w:pPr>
        <w:spacing w:after="0" w:line="240" w:lineRule="auto"/>
        <w:jc w:val="both"/>
        <w:rPr>
          <w:sz w:val="20"/>
          <w:szCs w:val="20"/>
        </w:rPr>
      </w:pPr>
    </w:p>
    <w:p w14:paraId="303AEA9C" w14:textId="1D935300" w:rsidR="003A4DA2" w:rsidRPr="00EC4B02" w:rsidRDefault="00EC4B02" w:rsidP="00DD7705">
      <w:pPr>
        <w:pStyle w:val="Akapitzlist"/>
        <w:numPr>
          <w:ilvl w:val="0"/>
          <w:numId w:val="13"/>
        </w:numPr>
        <w:spacing w:after="0" w:line="240" w:lineRule="auto"/>
        <w:jc w:val="both"/>
        <w:rPr>
          <w:sz w:val="20"/>
          <w:szCs w:val="20"/>
          <w:lang w:val="en-US"/>
        </w:rPr>
      </w:pPr>
      <w:r w:rsidRPr="00EC4B02">
        <w:rPr>
          <w:sz w:val="20"/>
          <w:szCs w:val="20"/>
          <w:lang w:val="en-US"/>
        </w:rPr>
        <w:t>The number of points (</w:t>
      </w:r>
      <w:proofErr w:type="spellStart"/>
      <w:r>
        <w:rPr>
          <w:sz w:val="20"/>
          <w:szCs w:val="20"/>
          <w:lang w:val="en-US"/>
        </w:rPr>
        <w:t>Lp</w:t>
      </w:r>
      <w:proofErr w:type="spellEnd"/>
      <w:r>
        <w:rPr>
          <w:sz w:val="20"/>
          <w:szCs w:val="20"/>
          <w:lang w:val="en-US"/>
        </w:rPr>
        <w:t>.)</w:t>
      </w:r>
      <w:r w:rsidRPr="00EC4B02">
        <w:rPr>
          <w:sz w:val="20"/>
          <w:szCs w:val="20"/>
          <w:lang w:val="en-US"/>
        </w:rPr>
        <w:t xml:space="preserve"> awarded to each of the evaluated tenders will be calculated according to the formula: </w:t>
      </w:r>
      <w:proofErr w:type="spellStart"/>
      <w:r>
        <w:rPr>
          <w:sz w:val="20"/>
          <w:szCs w:val="20"/>
          <w:lang w:val="en-US"/>
        </w:rPr>
        <w:t>Lp</w:t>
      </w:r>
      <w:proofErr w:type="spellEnd"/>
      <w:r w:rsidRPr="00EC4B02">
        <w:rPr>
          <w:sz w:val="20"/>
          <w:szCs w:val="20"/>
          <w:lang w:val="en-US"/>
        </w:rPr>
        <w:t>. = C+D</w:t>
      </w:r>
      <w:r>
        <w:rPr>
          <w:sz w:val="20"/>
          <w:szCs w:val="20"/>
          <w:lang w:val="en-US"/>
        </w:rPr>
        <w:t>:</w:t>
      </w:r>
    </w:p>
    <w:p w14:paraId="432EF824" w14:textId="77777777" w:rsidR="00EC4B02" w:rsidRPr="00EC4B02" w:rsidRDefault="00EC4B02" w:rsidP="003A4DA2">
      <w:pPr>
        <w:pStyle w:val="Akapitzlist"/>
        <w:spacing w:after="0" w:line="240" w:lineRule="auto"/>
        <w:ind w:left="284"/>
        <w:jc w:val="both"/>
        <w:rPr>
          <w:sz w:val="20"/>
          <w:szCs w:val="20"/>
          <w:lang w:val="en-US"/>
        </w:rPr>
      </w:pPr>
    </w:p>
    <w:p w14:paraId="4D4108A6" w14:textId="5FD56270" w:rsidR="00EC4B02" w:rsidRPr="00EC4B02" w:rsidRDefault="00EC4B02" w:rsidP="000F45C7">
      <w:pPr>
        <w:spacing w:after="0" w:line="240" w:lineRule="auto"/>
        <w:ind w:left="1134" w:hanging="425"/>
        <w:jc w:val="both"/>
        <w:rPr>
          <w:sz w:val="20"/>
          <w:szCs w:val="20"/>
          <w:lang w:val="en-US"/>
        </w:rPr>
      </w:pPr>
      <w:proofErr w:type="spellStart"/>
      <w:r>
        <w:rPr>
          <w:sz w:val="20"/>
          <w:szCs w:val="20"/>
          <w:lang w:val="en-US"/>
        </w:rPr>
        <w:t>Lp</w:t>
      </w:r>
      <w:proofErr w:type="spellEnd"/>
      <w:r w:rsidRPr="00EC4B02">
        <w:rPr>
          <w:sz w:val="20"/>
          <w:szCs w:val="20"/>
          <w:lang w:val="en-US"/>
        </w:rPr>
        <w:t xml:space="preserve"> - total number of points awarded in the offer,</w:t>
      </w:r>
    </w:p>
    <w:p w14:paraId="52F5B5B3" w14:textId="273B15BD" w:rsidR="00EC4B02" w:rsidRPr="00EC4B02" w:rsidRDefault="00EC4B02" w:rsidP="000F45C7">
      <w:pPr>
        <w:spacing w:after="0" w:line="240" w:lineRule="auto"/>
        <w:ind w:left="1134" w:hanging="425"/>
        <w:jc w:val="both"/>
        <w:rPr>
          <w:sz w:val="20"/>
          <w:szCs w:val="20"/>
          <w:lang w:val="en-US"/>
        </w:rPr>
      </w:pPr>
      <w:r w:rsidRPr="00EC4B02">
        <w:rPr>
          <w:sz w:val="20"/>
          <w:szCs w:val="20"/>
          <w:lang w:val="en-US"/>
        </w:rPr>
        <w:t xml:space="preserve">C </w:t>
      </w:r>
      <w:r>
        <w:rPr>
          <w:sz w:val="20"/>
          <w:szCs w:val="20"/>
          <w:lang w:val="en-US"/>
        </w:rPr>
        <w:t>–</w:t>
      </w:r>
      <w:r w:rsidRPr="00EC4B02">
        <w:rPr>
          <w:sz w:val="20"/>
          <w:szCs w:val="20"/>
          <w:lang w:val="en-US"/>
        </w:rPr>
        <w:t xml:space="preserve"> </w:t>
      </w:r>
      <w:r>
        <w:rPr>
          <w:sz w:val="20"/>
          <w:szCs w:val="20"/>
          <w:lang w:val="en-US"/>
        </w:rPr>
        <w:t xml:space="preserve">the </w:t>
      </w:r>
      <w:r w:rsidRPr="00EC4B02">
        <w:rPr>
          <w:sz w:val="20"/>
          <w:szCs w:val="20"/>
          <w:lang w:val="en-US"/>
        </w:rPr>
        <w:t>number of points awarded based on the criterion - price,</w:t>
      </w:r>
    </w:p>
    <w:p w14:paraId="007FF46F" w14:textId="35EC9E93" w:rsidR="00EC4B02" w:rsidRPr="00EC4B02" w:rsidRDefault="00EC4B02" w:rsidP="000F45C7">
      <w:pPr>
        <w:spacing w:after="0" w:line="240" w:lineRule="auto"/>
        <w:ind w:left="1134" w:hanging="425"/>
        <w:jc w:val="both"/>
        <w:rPr>
          <w:sz w:val="20"/>
          <w:szCs w:val="20"/>
          <w:lang w:val="en-US"/>
        </w:rPr>
      </w:pPr>
      <w:r w:rsidRPr="00EC4B02">
        <w:rPr>
          <w:sz w:val="20"/>
          <w:szCs w:val="20"/>
          <w:lang w:val="en-US"/>
        </w:rPr>
        <w:t xml:space="preserve">D - the number of points awarded </w:t>
      </w:r>
      <w:r>
        <w:rPr>
          <w:sz w:val="20"/>
          <w:szCs w:val="20"/>
          <w:lang w:val="en-US"/>
        </w:rPr>
        <w:t xml:space="preserve">based </w:t>
      </w:r>
      <w:r w:rsidRPr="00EC4B02">
        <w:rPr>
          <w:sz w:val="20"/>
          <w:szCs w:val="20"/>
          <w:lang w:val="en-US"/>
        </w:rPr>
        <w:t xml:space="preserve">on the criterion </w:t>
      </w:r>
      <w:r>
        <w:rPr>
          <w:sz w:val="20"/>
          <w:szCs w:val="20"/>
          <w:lang w:val="en-US"/>
        </w:rPr>
        <w:t>–</w:t>
      </w:r>
      <w:r w:rsidRPr="00EC4B02">
        <w:rPr>
          <w:sz w:val="20"/>
          <w:szCs w:val="20"/>
          <w:lang w:val="en-US"/>
        </w:rPr>
        <w:t xml:space="preserve"> </w:t>
      </w:r>
      <w:r>
        <w:rPr>
          <w:sz w:val="20"/>
          <w:szCs w:val="20"/>
          <w:lang w:val="en-US"/>
        </w:rPr>
        <w:t>payment deadline</w:t>
      </w:r>
      <w:r w:rsidRPr="00EC4B02">
        <w:rPr>
          <w:sz w:val="20"/>
          <w:szCs w:val="20"/>
          <w:lang w:val="en-US"/>
        </w:rPr>
        <w:t>.</w:t>
      </w:r>
    </w:p>
    <w:p w14:paraId="368D84D6" w14:textId="77777777" w:rsidR="00EC4B02" w:rsidRPr="00EC4B02" w:rsidRDefault="00EC4B02" w:rsidP="003A4DA2">
      <w:pPr>
        <w:spacing w:after="0" w:line="240" w:lineRule="auto"/>
        <w:ind w:left="568" w:hanging="284"/>
        <w:jc w:val="both"/>
        <w:rPr>
          <w:sz w:val="20"/>
          <w:szCs w:val="20"/>
          <w:lang w:val="en-US"/>
        </w:rPr>
      </w:pPr>
    </w:p>
    <w:p w14:paraId="42F9414B" w14:textId="77777777" w:rsidR="003A4DA2" w:rsidRPr="00EC4B02" w:rsidRDefault="003A4DA2" w:rsidP="003A4DA2">
      <w:pPr>
        <w:spacing w:after="0" w:line="240" w:lineRule="auto"/>
        <w:jc w:val="both"/>
        <w:rPr>
          <w:sz w:val="20"/>
          <w:szCs w:val="20"/>
          <w:lang w:val="en-US"/>
        </w:rPr>
      </w:pPr>
    </w:p>
    <w:p w14:paraId="093D10DD" w14:textId="71775C55" w:rsidR="00EC4B02" w:rsidRPr="000F45C7" w:rsidRDefault="00EC4B02" w:rsidP="00DD7705">
      <w:pPr>
        <w:pStyle w:val="Akapitzlist"/>
        <w:numPr>
          <w:ilvl w:val="0"/>
          <w:numId w:val="12"/>
        </w:numPr>
        <w:spacing w:after="0" w:line="240" w:lineRule="auto"/>
        <w:jc w:val="both"/>
        <w:rPr>
          <w:sz w:val="20"/>
          <w:szCs w:val="20"/>
          <w:lang w:val="en-US"/>
        </w:rPr>
      </w:pPr>
      <w:r w:rsidRPr="000F45C7">
        <w:rPr>
          <w:sz w:val="20"/>
          <w:szCs w:val="20"/>
          <w:lang w:val="en-US"/>
        </w:rPr>
        <w:t>Number of points of the examined offer:</w:t>
      </w:r>
    </w:p>
    <w:p w14:paraId="1E8431D5" w14:textId="77777777" w:rsidR="003A4DA2" w:rsidRPr="00EC4B02" w:rsidRDefault="003A4DA2" w:rsidP="003A4DA2">
      <w:pPr>
        <w:pStyle w:val="Akapitzlist"/>
        <w:spacing w:after="0" w:line="240" w:lineRule="auto"/>
        <w:ind w:left="284"/>
        <w:jc w:val="both"/>
        <w:rPr>
          <w:color w:val="FF0000"/>
          <w:sz w:val="20"/>
          <w:szCs w:val="20"/>
          <w:lang w:val="en-US"/>
        </w:rPr>
      </w:pPr>
    </w:p>
    <w:p w14:paraId="22A7276D" w14:textId="1F5554F8" w:rsidR="00EC4B02" w:rsidRPr="00E4133D" w:rsidRDefault="00EC4B02" w:rsidP="0068664D">
      <w:pPr>
        <w:pStyle w:val="Akapitzlist"/>
        <w:numPr>
          <w:ilvl w:val="0"/>
          <w:numId w:val="16"/>
        </w:numPr>
        <w:spacing w:after="0" w:line="240" w:lineRule="auto"/>
        <w:jc w:val="both"/>
        <w:rPr>
          <w:rFonts w:cstheme="minorHAnsi"/>
          <w:iCs/>
          <w:sz w:val="20"/>
          <w:szCs w:val="20"/>
          <w:lang w:val="en-GB"/>
        </w:rPr>
      </w:pPr>
      <w:r w:rsidRPr="00E4133D">
        <w:rPr>
          <w:rFonts w:cstheme="minorHAnsi"/>
          <w:iCs/>
          <w:sz w:val="20"/>
          <w:szCs w:val="20"/>
          <w:lang w:val="en-GB"/>
        </w:rPr>
        <w:t>In the “Price”</w:t>
      </w:r>
      <w:r w:rsidR="00E4133D" w:rsidRPr="00E4133D">
        <w:rPr>
          <w:rFonts w:cstheme="minorHAnsi"/>
          <w:iCs/>
          <w:sz w:val="20"/>
          <w:szCs w:val="20"/>
          <w:lang w:val="en-GB"/>
        </w:rPr>
        <w:t xml:space="preserve"> (C)</w:t>
      </w:r>
      <w:r w:rsidRPr="00E4133D">
        <w:rPr>
          <w:rFonts w:cstheme="minorHAnsi"/>
          <w:iCs/>
          <w:sz w:val="20"/>
          <w:szCs w:val="20"/>
          <w:lang w:val="en-GB"/>
        </w:rPr>
        <w:t xml:space="preserve"> criterion, points shall be awarded (to two decimal places) according to the following formula: </w:t>
      </w:r>
    </w:p>
    <w:p w14:paraId="60E09063" w14:textId="253784BA" w:rsidR="00EC4B02" w:rsidRDefault="00EC4B02" w:rsidP="00E4133D">
      <w:pPr>
        <w:spacing w:after="0" w:line="240" w:lineRule="auto"/>
        <w:ind w:left="709"/>
        <w:jc w:val="both"/>
        <w:rPr>
          <w:rFonts w:cstheme="minorHAnsi"/>
          <w:iCs/>
          <w:sz w:val="20"/>
          <w:szCs w:val="20"/>
          <w:lang w:val="en-GB"/>
        </w:rPr>
      </w:pPr>
      <w:r w:rsidRPr="00E4133D">
        <w:rPr>
          <w:rFonts w:cstheme="minorHAnsi"/>
          <w:iCs/>
          <w:sz w:val="20"/>
          <w:szCs w:val="20"/>
          <w:lang w:val="en-GB"/>
        </w:rPr>
        <w:t>Points for price criterion = the lowest net price/net price of the bid under consideration x 100 x 90%</w:t>
      </w:r>
    </w:p>
    <w:p w14:paraId="5DEB8EC3" w14:textId="30D0BBB6" w:rsidR="0068664D" w:rsidRDefault="0068664D" w:rsidP="00E4133D">
      <w:pPr>
        <w:spacing w:after="0" w:line="240" w:lineRule="auto"/>
        <w:ind w:left="709"/>
        <w:jc w:val="both"/>
        <w:rPr>
          <w:rFonts w:cstheme="minorHAnsi"/>
          <w:iCs/>
          <w:sz w:val="20"/>
          <w:szCs w:val="20"/>
          <w:lang w:val="en-GB"/>
        </w:rPr>
      </w:pPr>
    </w:p>
    <w:p w14:paraId="77129AEE" w14:textId="77777777" w:rsidR="0068664D" w:rsidRPr="0068664D" w:rsidRDefault="0068664D" w:rsidP="0068664D">
      <w:pPr>
        <w:pStyle w:val="Akapitzlist"/>
        <w:numPr>
          <w:ilvl w:val="0"/>
          <w:numId w:val="16"/>
        </w:numPr>
        <w:spacing w:after="0" w:line="240" w:lineRule="auto"/>
        <w:rPr>
          <w:rFonts w:cs="Calibri"/>
          <w:iCs/>
          <w:sz w:val="20"/>
          <w:szCs w:val="20"/>
          <w:lang w:val="en-US"/>
        </w:rPr>
      </w:pPr>
      <w:r w:rsidRPr="0068664D">
        <w:rPr>
          <w:rFonts w:cs="Calibri"/>
          <w:color w:val="222222"/>
          <w:sz w:val="20"/>
          <w:szCs w:val="20"/>
          <w:shd w:val="clear" w:color="auto" w:fill="FFFFFF"/>
          <w:lang w:val="en-US"/>
        </w:rPr>
        <w:t xml:space="preserve">Order completion date (D) </w:t>
      </w:r>
    </w:p>
    <w:p w14:paraId="52BE0C08" w14:textId="1FCE8956" w:rsidR="0068664D" w:rsidRPr="0068664D" w:rsidRDefault="0068664D" w:rsidP="0068664D">
      <w:pPr>
        <w:pStyle w:val="Akapitzlist"/>
        <w:spacing w:after="0" w:line="240" w:lineRule="auto"/>
        <w:jc w:val="both"/>
        <w:rPr>
          <w:rFonts w:cs="Calibri"/>
          <w:iCs/>
          <w:sz w:val="20"/>
          <w:szCs w:val="20"/>
          <w:lang w:val="en-US"/>
        </w:rPr>
      </w:pPr>
      <w:r w:rsidRPr="0068664D">
        <w:rPr>
          <w:rFonts w:cs="Calibri"/>
          <w:color w:val="222222"/>
          <w:sz w:val="20"/>
          <w:szCs w:val="20"/>
          <w:shd w:val="clear" w:color="auto" w:fill="FFFFFF"/>
          <w:lang w:val="en-US"/>
        </w:rPr>
        <w:t>For the criterion “Order completion date”, points shall be awarded according to the following formula:</w:t>
      </w:r>
      <w:r w:rsidRPr="0068664D">
        <w:rPr>
          <w:rFonts w:cs="Calibri"/>
          <w:color w:val="222222"/>
          <w:sz w:val="20"/>
          <w:szCs w:val="20"/>
          <w:lang w:val="en-US"/>
        </w:rPr>
        <w:br/>
      </w:r>
      <w:r w:rsidRPr="0068664D">
        <w:rPr>
          <w:rFonts w:cs="Calibri"/>
          <w:color w:val="222222"/>
          <w:sz w:val="20"/>
          <w:szCs w:val="20"/>
          <w:shd w:val="clear" w:color="auto" w:fill="FFFFFF"/>
          <w:lang w:val="en-US"/>
        </w:rPr>
        <w:t>10 points – when the order completion date is 35 days from providing all required materials to the Contractor,</w:t>
      </w:r>
      <w:r w:rsidRPr="0068664D">
        <w:rPr>
          <w:rFonts w:cs="Calibri"/>
          <w:color w:val="222222"/>
          <w:sz w:val="20"/>
          <w:szCs w:val="20"/>
          <w:lang w:val="en-US"/>
        </w:rPr>
        <w:br/>
      </w:r>
      <w:r w:rsidRPr="0068664D">
        <w:rPr>
          <w:rFonts w:cs="Calibri"/>
          <w:color w:val="222222"/>
          <w:sz w:val="20"/>
          <w:szCs w:val="20"/>
          <w:shd w:val="clear" w:color="auto" w:fill="FFFFFF"/>
          <w:lang w:val="en-US"/>
        </w:rPr>
        <w:lastRenderedPageBreak/>
        <w:t>5 points – when the order completion date is 40 days from providing all required materials to the Contractor,</w:t>
      </w:r>
      <w:r w:rsidRPr="0068664D">
        <w:rPr>
          <w:rFonts w:cs="Calibri"/>
          <w:color w:val="222222"/>
          <w:sz w:val="20"/>
          <w:szCs w:val="20"/>
          <w:lang w:val="en-US"/>
        </w:rPr>
        <w:br/>
      </w:r>
      <w:r w:rsidRPr="0068664D">
        <w:rPr>
          <w:rFonts w:cs="Calibri"/>
          <w:color w:val="222222"/>
          <w:sz w:val="20"/>
          <w:szCs w:val="20"/>
          <w:shd w:val="clear" w:color="auto" w:fill="FFFFFF"/>
          <w:lang w:val="en-US"/>
        </w:rPr>
        <w:t>0 points –when the order completion date is 45 days from providing all required materials to the Contractor.</w:t>
      </w:r>
    </w:p>
    <w:p w14:paraId="7D6B1ABE" w14:textId="10EDDD84" w:rsidR="000F45C7" w:rsidRPr="00E4133D" w:rsidRDefault="000F45C7" w:rsidP="000F45C7">
      <w:pPr>
        <w:spacing w:after="0" w:line="240" w:lineRule="auto"/>
        <w:jc w:val="both"/>
        <w:rPr>
          <w:rFonts w:cstheme="minorHAnsi"/>
          <w:iCs/>
          <w:sz w:val="20"/>
          <w:szCs w:val="20"/>
          <w:lang w:val="en-GB"/>
        </w:rPr>
      </w:pP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DD7705">
      <w:pPr>
        <w:pStyle w:val="Akapitzlist"/>
        <w:numPr>
          <w:ilvl w:val="0"/>
          <w:numId w:val="2"/>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DD7705">
      <w:pPr>
        <w:pStyle w:val="Akapitzlist"/>
        <w:numPr>
          <w:ilvl w:val="0"/>
          <w:numId w:val="2"/>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DD7705">
      <w:pPr>
        <w:pStyle w:val="Akapitzlist"/>
        <w:numPr>
          <w:ilvl w:val="0"/>
          <w:numId w:val="2"/>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DD7705">
      <w:pPr>
        <w:pStyle w:val="Akapitzlist"/>
        <w:numPr>
          <w:ilvl w:val="0"/>
          <w:numId w:val="2"/>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431FBCA2" w14:textId="77777777" w:rsidR="004C2097" w:rsidRPr="004C2097" w:rsidRDefault="004C2097" w:rsidP="00DD7705">
      <w:pPr>
        <w:pStyle w:val="Akapitzlist"/>
        <w:numPr>
          <w:ilvl w:val="0"/>
          <w:numId w:val="2"/>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DD7705">
      <w:pPr>
        <w:pStyle w:val="Akapitzlist"/>
        <w:numPr>
          <w:ilvl w:val="0"/>
          <w:numId w:val="2"/>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DD7705">
      <w:pPr>
        <w:pStyle w:val="Akapitzlist"/>
        <w:numPr>
          <w:ilvl w:val="0"/>
          <w:numId w:val="2"/>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DD7705">
      <w:pPr>
        <w:pStyle w:val="Akapitzlist"/>
        <w:numPr>
          <w:ilvl w:val="0"/>
          <w:numId w:val="2"/>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0FED357F" w14:textId="77246817" w:rsidR="00F4300A" w:rsidRDefault="00F4300A" w:rsidP="00DD7705">
      <w:pPr>
        <w:pStyle w:val="Akapitzlist"/>
        <w:numPr>
          <w:ilvl w:val="0"/>
          <w:numId w:val="2"/>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CC4D50" w:rsidRPr="004C2097">
        <w:rPr>
          <w:rFonts w:cstheme="minorHAnsi"/>
          <w:color w:val="000000"/>
          <w:sz w:val="20"/>
          <w:szCs w:val="20"/>
          <w:lang w:val="en-GB"/>
        </w:rPr>
        <w:t xml:space="preserve"> </w:t>
      </w:r>
      <w:r w:rsidR="00701034">
        <w:rPr>
          <w:rFonts w:cstheme="minorHAnsi"/>
          <w:color w:val="000000"/>
          <w:sz w:val="20"/>
          <w:szCs w:val="20"/>
          <w:lang w:val="en-GB"/>
        </w:rPr>
        <w:br/>
      </w:r>
      <w:hyperlink r:id="rId9" w:history="1">
        <w:r w:rsidR="00E4133D" w:rsidRPr="00E4133D">
          <w:rPr>
            <w:rStyle w:val="Hipercze"/>
            <w:rFonts w:cstheme="minorHAnsi"/>
            <w:sz w:val="20"/>
            <w:szCs w:val="20"/>
            <w:lang w:val="en-US"/>
          </w:rPr>
          <w:t>b.pijet@nencki.edu.pl</w:t>
        </w:r>
      </w:hyperlink>
      <w:r w:rsidR="00E4133D" w:rsidRPr="00E4133D">
        <w:rPr>
          <w:rStyle w:val="Hipercze"/>
          <w:rFonts w:cstheme="minorHAnsi"/>
          <w:sz w:val="20"/>
          <w:szCs w:val="20"/>
          <w:lang w:val="en-US"/>
        </w:rPr>
        <w:t>.</w:t>
      </w:r>
    </w:p>
    <w:p w14:paraId="56E83AA3" w14:textId="67BDCB8B" w:rsidR="00701034" w:rsidRPr="00701034" w:rsidRDefault="00701034" w:rsidP="00DD7705">
      <w:pPr>
        <w:pStyle w:val="Akapitzlist"/>
        <w:numPr>
          <w:ilvl w:val="0"/>
          <w:numId w:val="2"/>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 xml:space="preserve">Please mark your bid by adding in the subject line of your email: </w:t>
      </w:r>
      <w:r w:rsidR="00E4133D" w:rsidRPr="00E4133D">
        <w:rPr>
          <w:rFonts w:cstheme="minorHAnsi"/>
          <w:b/>
          <w:bCs/>
          <w:sz w:val="20"/>
          <w:szCs w:val="20"/>
          <w:lang w:val="en-GB"/>
        </w:rPr>
        <w:t>research service</w:t>
      </w:r>
      <w:r w:rsidR="00E4133D">
        <w:rPr>
          <w:rFonts w:cstheme="minorHAnsi"/>
          <w:b/>
          <w:bCs/>
          <w:sz w:val="20"/>
          <w:szCs w:val="20"/>
          <w:lang w:val="en-GB"/>
        </w:rPr>
        <w:t>.</w:t>
      </w:r>
    </w:p>
    <w:p w14:paraId="5AE64103" w14:textId="77777777" w:rsidR="00F4300A" w:rsidRPr="004C2097" w:rsidRDefault="00F4300A" w:rsidP="00DD7705">
      <w:pPr>
        <w:pStyle w:val="Akapitzlist"/>
        <w:numPr>
          <w:ilvl w:val="0"/>
          <w:numId w:val="2"/>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DD7705">
      <w:pPr>
        <w:pStyle w:val="NormalnyWeb"/>
        <w:numPr>
          <w:ilvl w:val="0"/>
          <w:numId w:val="2"/>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DD7705">
      <w:pPr>
        <w:pStyle w:val="Akapitzlist"/>
        <w:numPr>
          <w:ilvl w:val="0"/>
          <w:numId w:val="1"/>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178CD89C" w14:textId="7CAAD01B" w:rsidR="00F4300A" w:rsidRPr="00D91677" w:rsidRDefault="00E4133D" w:rsidP="00DD7705">
      <w:pPr>
        <w:numPr>
          <w:ilvl w:val="0"/>
          <w:numId w:val="1"/>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E4133D">
        <w:rPr>
          <w:rFonts w:cstheme="minorHAnsi"/>
          <w:sz w:val="20"/>
          <w:szCs w:val="20"/>
          <w:lang w:val="en-GB"/>
        </w:rPr>
        <w:t>The agreement will be valid until December 31, 2023.</w:t>
      </w:r>
    </w:p>
    <w:p w14:paraId="115EA687" w14:textId="77777777" w:rsidR="00F4300A" w:rsidRPr="00D91677" w:rsidRDefault="00F4300A" w:rsidP="00DD7705">
      <w:pPr>
        <w:numPr>
          <w:ilvl w:val="0"/>
          <w:numId w:val="1"/>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DD7705">
      <w:pPr>
        <w:numPr>
          <w:ilvl w:val="0"/>
          <w:numId w:val="1"/>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DD7705">
      <w:pPr>
        <w:pStyle w:val="Akapitzlist"/>
        <w:numPr>
          <w:ilvl w:val="0"/>
          <w:numId w:val="1"/>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lastRenderedPageBreak/>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43860524" w14:textId="77777777"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07801E88" w14:textId="77777777"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14:paraId="592002D3" w14:textId="77777777" w:rsidR="00F4300A" w:rsidRDefault="00F4300A" w:rsidP="00F4300A">
      <w:pPr>
        <w:pStyle w:val="Tekstwstpniesformatowany"/>
        <w:ind w:left="850"/>
        <w:jc w:val="both"/>
        <w:rPr>
          <w:rFonts w:ascii="Calibri" w:hAnsi="Calibri"/>
          <w:sz w:val="20"/>
          <w:szCs w:val="20"/>
          <w:lang w:val="en-GB"/>
        </w:rPr>
      </w:pPr>
    </w:p>
    <w:p w14:paraId="3C193411" w14:textId="77777777" w:rsidR="00184069" w:rsidRDefault="00184069" w:rsidP="00F4300A">
      <w:pPr>
        <w:pStyle w:val="Tekstwstpniesformatowany"/>
        <w:ind w:left="850"/>
        <w:jc w:val="both"/>
        <w:rPr>
          <w:rFonts w:ascii="Calibri" w:hAnsi="Calibri"/>
          <w:sz w:val="20"/>
          <w:szCs w:val="20"/>
          <w:lang w:val="en-GB"/>
        </w:rPr>
      </w:pPr>
    </w:p>
    <w:p w14:paraId="2DEF3ABB" w14:textId="77777777" w:rsidR="00184069" w:rsidRDefault="00184069" w:rsidP="00F4300A">
      <w:pPr>
        <w:pStyle w:val="Tekstwstpniesformatowany"/>
        <w:ind w:left="850"/>
        <w:jc w:val="both"/>
        <w:rPr>
          <w:rFonts w:ascii="Calibri" w:hAnsi="Calibri"/>
          <w:sz w:val="20"/>
          <w:szCs w:val="20"/>
          <w:lang w:val="en-GB"/>
        </w:rPr>
      </w:pPr>
    </w:p>
    <w:p w14:paraId="4DACE782" w14:textId="77777777" w:rsidR="00184069" w:rsidRDefault="00184069" w:rsidP="00F4300A">
      <w:pPr>
        <w:pStyle w:val="Tekstwstpniesformatowany"/>
        <w:ind w:left="850"/>
        <w:jc w:val="both"/>
        <w:rPr>
          <w:rFonts w:ascii="Calibri" w:hAnsi="Calibri"/>
          <w:sz w:val="20"/>
          <w:szCs w:val="20"/>
          <w:lang w:val="en-GB"/>
        </w:rPr>
      </w:pPr>
    </w:p>
    <w:p w14:paraId="7D3A3C51" w14:textId="77777777" w:rsidR="00184069" w:rsidRDefault="00184069" w:rsidP="00F4300A">
      <w:pPr>
        <w:pStyle w:val="Tekstwstpniesformatowany"/>
        <w:ind w:left="850"/>
        <w:jc w:val="both"/>
        <w:rPr>
          <w:rFonts w:ascii="Calibri" w:hAnsi="Calibri"/>
          <w:sz w:val="20"/>
          <w:szCs w:val="20"/>
          <w:lang w:val="en-GB"/>
        </w:rPr>
      </w:pPr>
    </w:p>
    <w:p w14:paraId="3E28E450" w14:textId="77777777" w:rsidR="00184069" w:rsidRDefault="00184069" w:rsidP="00F4300A">
      <w:pPr>
        <w:pStyle w:val="Tekstwstpniesformatowany"/>
        <w:ind w:left="850"/>
        <w:jc w:val="both"/>
        <w:rPr>
          <w:rFonts w:ascii="Calibri" w:hAnsi="Calibri"/>
          <w:sz w:val="20"/>
          <w:szCs w:val="20"/>
          <w:lang w:val="en-GB"/>
        </w:rPr>
      </w:pPr>
    </w:p>
    <w:p w14:paraId="41CBB8B0" w14:textId="77777777" w:rsidR="00184069" w:rsidRDefault="00184069" w:rsidP="00F4300A">
      <w:pPr>
        <w:pStyle w:val="Tekstwstpniesformatowany"/>
        <w:ind w:left="850"/>
        <w:jc w:val="both"/>
        <w:rPr>
          <w:rFonts w:ascii="Calibri" w:hAnsi="Calibri"/>
          <w:sz w:val="20"/>
          <w:szCs w:val="20"/>
          <w:lang w:val="en-GB"/>
        </w:rPr>
      </w:pPr>
    </w:p>
    <w:p w14:paraId="3F7919CB" w14:textId="77777777" w:rsidR="00184069" w:rsidRDefault="00184069" w:rsidP="00F4300A">
      <w:pPr>
        <w:pStyle w:val="Tekstwstpniesformatowany"/>
        <w:ind w:left="850"/>
        <w:jc w:val="both"/>
        <w:rPr>
          <w:rFonts w:ascii="Calibri" w:hAnsi="Calibri"/>
          <w:sz w:val="20"/>
          <w:szCs w:val="20"/>
          <w:lang w:val="en-GB"/>
        </w:rPr>
      </w:pPr>
    </w:p>
    <w:p w14:paraId="23DF6321" w14:textId="77777777" w:rsidR="00184069" w:rsidRDefault="00184069" w:rsidP="00F4300A">
      <w:pPr>
        <w:pStyle w:val="Tekstwstpniesformatowany"/>
        <w:ind w:left="850"/>
        <w:jc w:val="both"/>
        <w:rPr>
          <w:rFonts w:ascii="Calibri" w:hAnsi="Calibri"/>
          <w:sz w:val="20"/>
          <w:szCs w:val="20"/>
          <w:lang w:val="en-GB"/>
        </w:rPr>
      </w:pPr>
    </w:p>
    <w:p w14:paraId="4BEAAF6C" w14:textId="77777777" w:rsidR="00184069" w:rsidRDefault="00184069" w:rsidP="00F4300A">
      <w:pPr>
        <w:pStyle w:val="Tekstwstpniesformatowany"/>
        <w:ind w:left="850"/>
        <w:jc w:val="both"/>
        <w:rPr>
          <w:rFonts w:ascii="Calibri" w:hAnsi="Calibri"/>
          <w:sz w:val="20"/>
          <w:szCs w:val="20"/>
          <w:lang w:val="en-GB"/>
        </w:rPr>
      </w:pPr>
    </w:p>
    <w:p w14:paraId="05589230" w14:textId="77777777" w:rsidR="00184069" w:rsidRDefault="00184069" w:rsidP="00F4300A">
      <w:pPr>
        <w:pStyle w:val="Tekstwstpniesformatowany"/>
        <w:ind w:left="850"/>
        <w:jc w:val="both"/>
        <w:rPr>
          <w:rFonts w:ascii="Calibri" w:hAnsi="Calibri"/>
          <w:sz w:val="20"/>
          <w:szCs w:val="20"/>
          <w:lang w:val="en-GB"/>
        </w:rPr>
      </w:pPr>
    </w:p>
    <w:p w14:paraId="31ECE7A5" w14:textId="77777777" w:rsidR="00184069" w:rsidRDefault="00184069" w:rsidP="00F4300A">
      <w:pPr>
        <w:pStyle w:val="Tekstwstpniesformatowany"/>
        <w:ind w:left="850"/>
        <w:jc w:val="both"/>
        <w:rPr>
          <w:rFonts w:ascii="Calibri" w:hAnsi="Calibri"/>
          <w:sz w:val="20"/>
          <w:szCs w:val="20"/>
          <w:lang w:val="en-GB"/>
        </w:rPr>
      </w:pPr>
    </w:p>
    <w:p w14:paraId="687F8539" w14:textId="77777777" w:rsidR="00184069" w:rsidRDefault="00184069" w:rsidP="00F4300A">
      <w:pPr>
        <w:pStyle w:val="Tekstwstpniesformatowany"/>
        <w:ind w:left="850"/>
        <w:jc w:val="both"/>
        <w:rPr>
          <w:rFonts w:ascii="Calibri" w:hAnsi="Calibri"/>
          <w:sz w:val="20"/>
          <w:szCs w:val="20"/>
          <w:lang w:val="en-GB"/>
        </w:rPr>
      </w:pPr>
    </w:p>
    <w:p w14:paraId="7F26C534" w14:textId="77777777" w:rsidR="00184069" w:rsidRDefault="00184069" w:rsidP="00F4300A">
      <w:pPr>
        <w:pStyle w:val="Tekstwstpniesformatowany"/>
        <w:ind w:left="850"/>
        <w:jc w:val="both"/>
        <w:rPr>
          <w:rFonts w:ascii="Calibri" w:hAnsi="Calibri"/>
          <w:sz w:val="20"/>
          <w:szCs w:val="20"/>
          <w:lang w:val="en-GB"/>
        </w:rPr>
      </w:pPr>
    </w:p>
    <w:p w14:paraId="0D685281" w14:textId="77777777" w:rsidR="00184069" w:rsidRDefault="00184069" w:rsidP="00F4300A">
      <w:pPr>
        <w:pStyle w:val="Tekstwstpniesformatowany"/>
        <w:ind w:left="850"/>
        <w:jc w:val="both"/>
        <w:rPr>
          <w:rFonts w:ascii="Calibri" w:hAnsi="Calibri"/>
          <w:sz w:val="20"/>
          <w:szCs w:val="20"/>
          <w:lang w:val="en-GB"/>
        </w:rPr>
      </w:pPr>
    </w:p>
    <w:p w14:paraId="7631E704" w14:textId="77777777" w:rsidR="00184069" w:rsidRDefault="00184069" w:rsidP="00F4300A">
      <w:pPr>
        <w:pStyle w:val="Tekstwstpniesformatowany"/>
        <w:ind w:left="850"/>
        <w:jc w:val="both"/>
        <w:rPr>
          <w:rFonts w:ascii="Calibri" w:hAnsi="Calibri"/>
          <w:sz w:val="20"/>
          <w:szCs w:val="20"/>
          <w:lang w:val="en-GB"/>
        </w:rPr>
      </w:pPr>
    </w:p>
    <w:p w14:paraId="73788195" w14:textId="77777777" w:rsidR="00184069" w:rsidRDefault="00184069" w:rsidP="00F4300A">
      <w:pPr>
        <w:pStyle w:val="Tekstwstpniesformatowany"/>
        <w:ind w:left="850"/>
        <w:jc w:val="both"/>
        <w:rPr>
          <w:rFonts w:ascii="Calibri" w:hAnsi="Calibri"/>
          <w:sz w:val="20"/>
          <w:szCs w:val="20"/>
          <w:lang w:val="en-GB"/>
        </w:rPr>
      </w:pPr>
    </w:p>
    <w:p w14:paraId="71101827" w14:textId="77777777" w:rsidR="00184069" w:rsidRDefault="00184069" w:rsidP="00F4300A">
      <w:pPr>
        <w:pStyle w:val="Tekstwstpniesformatowany"/>
        <w:ind w:left="850"/>
        <w:jc w:val="both"/>
        <w:rPr>
          <w:rFonts w:ascii="Calibri" w:hAnsi="Calibri"/>
          <w:sz w:val="20"/>
          <w:szCs w:val="20"/>
          <w:lang w:val="en-GB"/>
        </w:rPr>
      </w:pPr>
    </w:p>
    <w:p w14:paraId="117B8715" w14:textId="77777777" w:rsidR="00184069" w:rsidRDefault="00184069" w:rsidP="00F4300A">
      <w:pPr>
        <w:pStyle w:val="Tekstwstpniesformatowany"/>
        <w:ind w:left="850"/>
        <w:jc w:val="both"/>
        <w:rPr>
          <w:rFonts w:ascii="Calibri" w:hAnsi="Calibri"/>
          <w:sz w:val="20"/>
          <w:szCs w:val="20"/>
          <w:lang w:val="en-GB"/>
        </w:rPr>
      </w:pPr>
    </w:p>
    <w:p w14:paraId="4AF9EE4B" w14:textId="77777777" w:rsidR="00184069" w:rsidRDefault="00184069" w:rsidP="00F4300A">
      <w:pPr>
        <w:pStyle w:val="Tekstwstpniesformatowany"/>
        <w:ind w:left="850"/>
        <w:jc w:val="both"/>
        <w:rPr>
          <w:rFonts w:ascii="Calibri" w:hAnsi="Calibri"/>
          <w:sz w:val="20"/>
          <w:szCs w:val="20"/>
          <w:lang w:val="en-GB"/>
        </w:rPr>
      </w:pPr>
    </w:p>
    <w:p w14:paraId="71379FE4" w14:textId="77777777" w:rsidR="00184069" w:rsidRDefault="00184069" w:rsidP="00F4300A">
      <w:pPr>
        <w:pStyle w:val="Tekstwstpniesformatowany"/>
        <w:ind w:left="850"/>
        <w:jc w:val="both"/>
        <w:rPr>
          <w:rFonts w:ascii="Calibri" w:hAnsi="Calibri"/>
          <w:sz w:val="20"/>
          <w:szCs w:val="20"/>
          <w:lang w:val="en-GB"/>
        </w:rPr>
      </w:pPr>
    </w:p>
    <w:p w14:paraId="7DFDD633" w14:textId="77777777" w:rsidR="00184069" w:rsidRDefault="00184069" w:rsidP="00F4300A">
      <w:pPr>
        <w:pStyle w:val="Tekstwstpniesformatowany"/>
        <w:ind w:left="850"/>
        <w:jc w:val="both"/>
        <w:rPr>
          <w:rFonts w:ascii="Calibri" w:hAnsi="Calibri"/>
          <w:sz w:val="20"/>
          <w:szCs w:val="20"/>
          <w:lang w:val="en-GB"/>
        </w:rPr>
      </w:pPr>
    </w:p>
    <w:p w14:paraId="0E0F63C8" w14:textId="77777777" w:rsidR="00184069" w:rsidRDefault="00184069" w:rsidP="00F4300A">
      <w:pPr>
        <w:pStyle w:val="Tekstwstpniesformatowany"/>
        <w:ind w:left="850"/>
        <w:jc w:val="both"/>
        <w:rPr>
          <w:rFonts w:ascii="Calibri" w:hAnsi="Calibri"/>
          <w:sz w:val="20"/>
          <w:szCs w:val="20"/>
          <w:lang w:val="en-GB"/>
        </w:rPr>
      </w:pPr>
    </w:p>
    <w:p w14:paraId="7F73AFDE" w14:textId="77777777" w:rsidR="00184069" w:rsidRDefault="00184069" w:rsidP="00F4300A">
      <w:pPr>
        <w:pStyle w:val="Tekstwstpniesformatowany"/>
        <w:ind w:left="850"/>
        <w:jc w:val="both"/>
        <w:rPr>
          <w:rFonts w:ascii="Calibri" w:hAnsi="Calibri"/>
          <w:sz w:val="20"/>
          <w:szCs w:val="20"/>
          <w:lang w:val="en-GB"/>
        </w:rPr>
      </w:pPr>
    </w:p>
    <w:p w14:paraId="142ECB0A" w14:textId="77777777" w:rsidR="00184069" w:rsidRDefault="00184069" w:rsidP="00F4300A">
      <w:pPr>
        <w:pStyle w:val="Tekstwstpniesformatowany"/>
        <w:ind w:left="850"/>
        <w:jc w:val="both"/>
        <w:rPr>
          <w:rFonts w:ascii="Calibri" w:hAnsi="Calibri"/>
          <w:sz w:val="20"/>
          <w:szCs w:val="20"/>
          <w:lang w:val="en-GB"/>
        </w:rPr>
      </w:pPr>
    </w:p>
    <w:p w14:paraId="62300DFB" w14:textId="77777777" w:rsidR="00184069" w:rsidRDefault="00184069" w:rsidP="00F4300A">
      <w:pPr>
        <w:pStyle w:val="Tekstwstpniesformatowany"/>
        <w:ind w:left="850"/>
        <w:jc w:val="both"/>
        <w:rPr>
          <w:rFonts w:ascii="Calibri" w:hAnsi="Calibri"/>
          <w:sz w:val="20"/>
          <w:szCs w:val="20"/>
          <w:lang w:val="en-GB"/>
        </w:rPr>
      </w:pPr>
    </w:p>
    <w:p w14:paraId="68953DBB"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406E302F"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5E3B619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592CE21F"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29EBA671"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193394D4"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AE14D3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p w14:paraId="31AE4F7F"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FD104C">
      <w:headerReference w:type="default" r:id="rId11"/>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7CD2" w14:textId="77777777" w:rsidR="00566A32" w:rsidRDefault="00566A32" w:rsidP="00CC4D50">
      <w:pPr>
        <w:spacing w:after="0" w:line="240" w:lineRule="auto"/>
      </w:pPr>
      <w:r>
        <w:separator/>
      </w:r>
    </w:p>
  </w:endnote>
  <w:endnote w:type="continuationSeparator" w:id="0">
    <w:p w14:paraId="134AE68F" w14:textId="77777777" w:rsidR="00566A32" w:rsidRDefault="00566A32"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F01D" w14:textId="77777777" w:rsidR="00566A32" w:rsidRDefault="00566A32" w:rsidP="00CC4D50">
      <w:pPr>
        <w:spacing w:after="0" w:line="240" w:lineRule="auto"/>
      </w:pPr>
      <w:r>
        <w:separator/>
      </w:r>
    </w:p>
  </w:footnote>
  <w:footnote w:type="continuationSeparator" w:id="0">
    <w:p w14:paraId="14186B0F" w14:textId="77777777" w:rsidR="00566A32" w:rsidRDefault="00566A32" w:rsidP="00CC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9E19" w14:textId="19CAC52B" w:rsidR="00877ABD" w:rsidRDefault="00877ABD">
    <w:pPr>
      <w:pStyle w:val="Nagwek"/>
    </w:pPr>
    <w:r>
      <w:rPr>
        <w:noProof/>
      </w:rPr>
      <w:drawing>
        <wp:inline distT="0" distB="0" distL="0" distR="0" wp14:anchorId="6CB57A0F" wp14:editId="26E0BAB7">
          <wp:extent cx="5731510" cy="340360"/>
          <wp:effectExtent l="0" t="0" r="2540" b="2540"/>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40360"/>
                  </a:xfrm>
                  <a:prstGeom prst="rect">
                    <a:avLst/>
                  </a:prstGeom>
                  <a:noFill/>
                  <a:ln>
                    <a:noFill/>
                  </a:ln>
                </pic:spPr>
              </pic:pic>
            </a:graphicData>
          </a:graphic>
        </wp:inline>
      </w:drawing>
    </w:r>
  </w:p>
  <w:p w14:paraId="117C50EF" w14:textId="77777777" w:rsidR="00877ABD" w:rsidRDefault="00877A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B1E1CB3"/>
    <w:multiLevelType w:val="hybridMultilevel"/>
    <w:tmpl w:val="E8E421B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356B7"/>
    <w:multiLevelType w:val="hybridMultilevel"/>
    <w:tmpl w:val="EBDCEEC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D66A04"/>
    <w:multiLevelType w:val="hybridMultilevel"/>
    <w:tmpl w:val="B37E8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B20A12"/>
    <w:multiLevelType w:val="hybridMultilevel"/>
    <w:tmpl w:val="F03CC27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F3719F"/>
    <w:multiLevelType w:val="hybridMultilevel"/>
    <w:tmpl w:val="427AB65E"/>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013C1"/>
    <w:multiLevelType w:val="multilevel"/>
    <w:tmpl w:val="A26C885A"/>
    <w:lvl w:ilvl="0">
      <w:start w:val="1"/>
      <w:numFmt w:val="decimal"/>
      <w:pStyle w:val="poziom1"/>
      <w:lvlText w:val="%1."/>
      <w:lvlJc w:val="left"/>
      <w:pPr>
        <w:tabs>
          <w:tab w:val="num" w:pos="720"/>
        </w:tabs>
        <w:ind w:left="720" w:hanging="720"/>
      </w:pPr>
    </w:lvl>
    <w:lvl w:ilvl="1">
      <w:start w:val="1"/>
      <w:numFmt w:val="lowerLetter"/>
      <w:pStyle w:val="poziom2"/>
      <w:lvlText w:val="%2)"/>
      <w:lvlJc w:val="left"/>
      <w:pPr>
        <w:tabs>
          <w:tab w:val="num" w:pos="1440"/>
        </w:tabs>
        <w:ind w:left="1440" w:hanging="720"/>
      </w:pPr>
      <w:rPr>
        <w:b w:val="0"/>
        <w:bCs/>
      </w:rPr>
    </w:lvl>
    <w:lvl w:ilvl="2">
      <w:start w:val="1"/>
      <w:numFmt w:val="decimal"/>
      <w:pStyle w:val="poziom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D77CCA"/>
    <w:multiLevelType w:val="hybridMultilevel"/>
    <w:tmpl w:val="3184FFB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E33AB3"/>
    <w:multiLevelType w:val="hybridMultilevel"/>
    <w:tmpl w:val="4B6E1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8D4B25"/>
    <w:multiLevelType w:val="hybridMultilevel"/>
    <w:tmpl w:val="09BA5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F44D03"/>
    <w:multiLevelType w:val="hybridMultilevel"/>
    <w:tmpl w:val="47529D9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8D58B2"/>
    <w:multiLevelType w:val="hybridMultilevel"/>
    <w:tmpl w:val="AE2ED0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6866FDB"/>
    <w:multiLevelType w:val="hybridMultilevel"/>
    <w:tmpl w:val="D0E8F7F2"/>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CE113E"/>
    <w:multiLevelType w:val="hybridMultilevel"/>
    <w:tmpl w:val="5358C0D2"/>
    <w:lvl w:ilvl="0" w:tplc="A4249EDE">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1"/>
  </w:num>
  <w:num w:numId="5">
    <w:abstractNumId w:val="2"/>
  </w:num>
  <w:num w:numId="6">
    <w:abstractNumId w:val="8"/>
  </w:num>
  <w:num w:numId="7">
    <w:abstractNumId w:val="4"/>
  </w:num>
  <w:num w:numId="8">
    <w:abstractNumId w:val="13"/>
  </w:num>
  <w:num w:numId="9">
    <w:abstractNumId w:val="14"/>
  </w:num>
  <w:num w:numId="10">
    <w:abstractNumId w:val="5"/>
  </w:num>
  <w:num w:numId="11">
    <w:abstractNumId w:val="6"/>
  </w:num>
  <w:num w:numId="12">
    <w:abstractNumId w:val="1"/>
  </w:num>
  <w:num w:numId="13">
    <w:abstractNumId w:val="9"/>
  </w:num>
  <w:num w:numId="14">
    <w:abstractNumId w:val="10"/>
  </w:num>
  <w:num w:numId="15">
    <w:abstractNumId w:val="0"/>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6946"/>
    <w:rsid w:val="00076C7B"/>
    <w:rsid w:val="00092BB7"/>
    <w:rsid w:val="000E7B8A"/>
    <w:rsid w:val="000F45C7"/>
    <w:rsid w:val="000F6803"/>
    <w:rsid w:val="00121784"/>
    <w:rsid w:val="00136F7E"/>
    <w:rsid w:val="00145DA1"/>
    <w:rsid w:val="00177B5B"/>
    <w:rsid w:val="00184069"/>
    <w:rsid w:val="001951EB"/>
    <w:rsid w:val="001B786B"/>
    <w:rsid w:val="001C1619"/>
    <w:rsid w:val="002119D0"/>
    <w:rsid w:val="002316A0"/>
    <w:rsid w:val="002329A0"/>
    <w:rsid w:val="00234399"/>
    <w:rsid w:val="00267341"/>
    <w:rsid w:val="002730FA"/>
    <w:rsid w:val="002874C5"/>
    <w:rsid w:val="002B1283"/>
    <w:rsid w:val="002B2791"/>
    <w:rsid w:val="002D54E0"/>
    <w:rsid w:val="002D5DDF"/>
    <w:rsid w:val="002F01FB"/>
    <w:rsid w:val="002F7841"/>
    <w:rsid w:val="00303D91"/>
    <w:rsid w:val="003655FE"/>
    <w:rsid w:val="00371199"/>
    <w:rsid w:val="00372802"/>
    <w:rsid w:val="003905AB"/>
    <w:rsid w:val="003A0D43"/>
    <w:rsid w:val="003A4DA2"/>
    <w:rsid w:val="003B2D5F"/>
    <w:rsid w:val="003F0483"/>
    <w:rsid w:val="003F15F5"/>
    <w:rsid w:val="003F1F68"/>
    <w:rsid w:val="00402038"/>
    <w:rsid w:val="0044648F"/>
    <w:rsid w:val="00456CE5"/>
    <w:rsid w:val="00472A61"/>
    <w:rsid w:val="00495020"/>
    <w:rsid w:val="004C2097"/>
    <w:rsid w:val="004C4D54"/>
    <w:rsid w:val="004C7DFA"/>
    <w:rsid w:val="004D580D"/>
    <w:rsid w:val="004E1523"/>
    <w:rsid w:val="00507502"/>
    <w:rsid w:val="00517112"/>
    <w:rsid w:val="005311C4"/>
    <w:rsid w:val="00566A32"/>
    <w:rsid w:val="00574F05"/>
    <w:rsid w:val="00577D67"/>
    <w:rsid w:val="00586A03"/>
    <w:rsid w:val="005A24CF"/>
    <w:rsid w:val="005B7237"/>
    <w:rsid w:val="005E22C8"/>
    <w:rsid w:val="006068BC"/>
    <w:rsid w:val="00623E1F"/>
    <w:rsid w:val="00635B95"/>
    <w:rsid w:val="00643011"/>
    <w:rsid w:val="006622F2"/>
    <w:rsid w:val="006661CB"/>
    <w:rsid w:val="0068664D"/>
    <w:rsid w:val="00695498"/>
    <w:rsid w:val="006961A0"/>
    <w:rsid w:val="006C27E0"/>
    <w:rsid w:val="006C5887"/>
    <w:rsid w:val="006D2724"/>
    <w:rsid w:val="00700083"/>
    <w:rsid w:val="00701034"/>
    <w:rsid w:val="007614B8"/>
    <w:rsid w:val="007E4DD8"/>
    <w:rsid w:val="00813197"/>
    <w:rsid w:val="008138D3"/>
    <w:rsid w:val="00827049"/>
    <w:rsid w:val="0085705B"/>
    <w:rsid w:val="00877ABD"/>
    <w:rsid w:val="008F38A3"/>
    <w:rsid w:val="009222BA"/>
    <w:rsid w:val="0094678A"/>
    <w:rsid w:val="00963645"/>
    <w:rsid w:val="00973704"/>
    <w:rsid w:val="009D3DA8"/>
    <w:rsid w:val="009E4E1D"/>
    <w:rsid w:val="009F2672"/>
    <w:rsid w:val="00A05A76"/>
    <w:rsid w:val="00A237E5"/>
    <w:rsid w:val="00A307CD"/>
    <w:rsid w:val="00A44FCF"/>
    <w:rsid w:val="00A67081"/>
    <w:rsid w:val="00A76979"/>
    <w:rsid w:val="00AA2439"/>
    <w:rsid w:val="00AF728A"/>
    <w:rsid w:val="00B40166"/>
    <w:rsid w:val="00B608BB"/>
    <w:rsid w:val="00B64069"/>
    <w:rsid w:val="00B91BCC"/>
    <w:rsid w:val="00BB14EC"/>
    <w:rsid w:val="00BB740A"/>
    <w:rsid w:val="00BB7CB4"/>
    <w:rsid w:val="00BC2BA3"/>
    <w:rsid w:val="00BE4992"/>
    <w:rsid w:val="00BF019E"/>
    <w:rsid w:val="00C3133B"/>
    <w:rsid w:val="00C86369"/>
    <w:rsid w:val="00CA76D5"/>
    <w:rsid w:val="00CC4018"/>
    <w:rsid w:val="00CC4D50"/>
    <w:rsid w:val="00D11064"/>
    <w:rsid w:val="00D159E9"/>
    <w:rsid w:val="00D16D53"/>
    <w:rsid w:val="00D43851"/>
    <w:rsid w:val="00D52200"/>
    <w:rsid w:val="00D91677"/>
    <w:rsid w:val="00DB7C94"/>
    <w:rsid w:val="00DD7705"/>
    <w:rsid w:val="00DE5EDB"/>
    <w:rsid w:val="00DF4369"/>
    <w:rsid w:val="00E138CF"/>
    <w:rsid w:val="00E2192D"/>
    <w:rsid w:val="00E22B5B"/>
    <w:rsid w:val="00E4133D"/>
    <w:rsid w:val="00E4174F"/>
    <w:rsid w:val="00E468F6"/>
    <w:rsid w:val="00E74A93"/>
    <w:rsid w:val="00EB3B7D"/>
    <w:rsid w:val="00EC3C6B"/>
    <w:rsid w:val="00EC4B02"/>
    <w:rsid w:val="00EC5496"/>
    <w:rsid w:val="00EE040C"/>
    <w:rsid w:val="00EF7E4D"/>
    <w:rsid w:val="00F0273C"/>
    <w:rsid w:val="00F1755F"/>
    <w:rsid w:val="00F4300A"/>
    <w:rsid w:val="00F521E4"/>
    <w:rsid w:val="00F758D7"/>
    <w:rsid w:val="00FA59EC"/>
    <w:rsid w:val="00FB1C29"/>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_wyliczenie,K-P_odwolanie,Akapit z listą5,maz_wyliczenie,opis dzialania,Table of contents numbered,Podsis rysunku,BulletC,Akapit z listą BS,lp1,Preambuła,Lista num,Wyliczanie,Obiekt,normalny tekst,lp11,L1,2 heading"/>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 w:type="character" w:customStyle="1" w:styleId="AkapitzlistZnak">
    <w:name w:val="Akapit z listą Znak"/>
    <w:aliases w:val="CW_Lista Znak,Numerowanie Znak,A_wyliczenie Znak,K-P_odwolanie Znak,Akapit z listą5 Znak,maz_wyliczenie Znak,opis dzialania Znak,Table of contents numbered Znak,Podsis rysunku Znak,BulletC Znak,Akapit z listą BS Znak,lp1 Znak,L1 Znak"/>
    <w:basedOn w:val="Domylnaczcionkaakapitu"/>
    <w:link w:val="Akapitzlist"/>
    <w:uiPriority w:val="34"/>
    <w:qFormat/>
    <w:rsid w:val="00D16D53"/>
    <w:rPr>
      <w:rFonts w:ascii="Calibri" w:eastAsia="Calibri" w:hAnsi="Calibri" w:cs="Times New Roman"/>
    </w:rPr>
  </w:style>
  <w:style w:type="table" w:styleId="Tabela-Siatka">
    <w:name w:val="Table Grid"/>
    <w:basedOn w:val="Standardowy"/>
    <w:uiPriority w:val="39"/>
    <w:rsid w:val="003A4D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 1"/>
    <w:basedOn w:val="Akapitzlist"/>
    <w:qFormat/>
    <w:rsid w:val="00EC4B02"/>
    <w:pPr>
      <w:numPr>
        <w:numId w:val="11"/>
      </w:numPr>
      <w:spacing w:before="100" w:beforeAutospacing="1" w:after="100" w:afterAutospacing="1" w:line="240" w:lineRule="auto"/>
    </w:pPr>
    <w:rPr>
      <w:rFonts w:cs="Calibri"/>
      <w:b/>
      <w:sz w:val="24"/>
      <w:szCs w:val="24"/>
      <w:lang w:val="en-GB" w:eastAsia="pl-PL"/>
    </w:rPr>
  </w:style>
  <w:style w:type="paragraph" w:customStyle="1" w:styleId="poziom2">
    <w:name w:val="poziom 2"/>
    <w:basedOn w:val="Akapitzlist"/>
    <w:link w:val="poziom2Znak"/>
    <w:qFormat/>
    <w:rsid w:val="00EC4B02"/>
    <w:pPr>
      <w:numPr>
        <w:ilvl w:val="1"/>
        <w:numId w:val="11"/>
      </w:numPr>
      <w:spacing w:before="100" w:beforeAutospacing="1" w:after="100" w:afterAutospacing="1" w:line="240" w:lineRule="auto"/>
    </w:pPr>
    <w:rPr>
      <w:rFonts w:cs="Arial"/>
      <w:sz w:val="20"/>
      <w:szCs w:val="20"/>
      <w:lang w:val="en-GB" w:eastAsia="pl-PL"/>
    </w:rPr>
  </w:style>
  <w:style w:type="paragraph" w:customStyle="1" w:styleId="poziom3">
    <w:name w:val="poziom 3"/>
    <w:basedOn w:val="Akapitzlist"/>
    <w:qFormat/>
    <w:rsid w:val="00EC4B02"/>
    <w:pPr>
      <w:numPr>
        <w:ilvl w:val="2"/>
        <w:numId w:val="11"/>
      </w:numPr>
      <w:spacing w:before="100" w:beforeAutospacing="1" w:after="0" w:afterAutospacing="1" w:line="240" w:lineRule="auto"/>
      <w:jc w:val="both"/>
    </w:pPr>
    <w:rPr>
      <w:rFonts w:cs="Arial"/>
      <w:lang w:eastAsia="pl-PL"/>
    </w:rPr>
  </w:style>
  <w:style w:type="character" w:customStyle="1" w:styleId="poziom2Znak">
    <w:name w:val="poziom 2 Znak"/>
    <w:basedOn w:val="AkapitzlistZnak"/>
    <w:link w:val="poziom2"/>
    <w:rsid w:val="00EC4B02"/>
    <w:rPr>
      <w:rFonts w:ascii="Calibri" w:eastAsia="Calibri" w:hAnsi="Calibri" w:cs="Arial"/>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ijet@nencki.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b.pijet@nencki.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1557</Words>
  <Characters>9345</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14</cp:revision>
  <dcterms:created xsi:type="dcterms:W3CDTF">2023-01-13T13:53:00Z</dcterms:created>
  <dcterms:modified xsi:type="dcterms:W3CDTF">2023-02-10T15:38:00Z</dcterms:modified>
</cp:coreProperties>
</file>