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ED61" w14:textId="4BD8D063" w:rsidR="00B608BB" w:rsidRDefault="00092BB7" w:rsidP="000C7CAB">
      <w:pPr>
        <w:spacing w:after="0" w:line="240" w:lineRule="auto"/>
        <w:rPr>
          <w:rFonts w:cstheme="minorHAnsi"/>
          <w:i/>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14:anchorId="072C9727" wp14:editId="54AF68BE">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14:paraId="57BF49B1" w14:textId="77777777" w:rsidR="000C7CAB" w:rsidRDefault="000C7CAB" w:rsidP="000C7CAB">
      <w:pPr>
        <w:spacing w:after="0" w:line="240" w:lineRule="auto"/>
        <w:rPr>
          <w:rFonts w:cstheme="minorHAnsi"/>
          <w:i/>
          <w:sz w:val="20"/>
          <w:szCs w:val="20"/>
          <w:lang w:val="en-GB"/>
        </w:rPr>
      </w:pPr>
    </w:p>
    <w:p w14:paraId="66AB988A" w14:textId="77777777" w:rsidR="00B608BB" w:rsidRPr="00D91677" w:rsidRDefault="00B608BB" w:rsidP="002329A0">
      <w:pPr>
        <w:spacing w:after="0" w:line="240" w:lineRule="auto"/>
        <w:jc w:val="right"/>
        <w:rPr>
          <w:rFonts w:cstheme="minorHAnsi"/>
          <w:i/>
          <w:sz w:val="20"/>
          <w:szCs w:val="20"/>
          <w:lang w:val="en-GB"/>
        </w:rPr>
      </w:pPr>
    </w:p>
    <w:p w14:paraId="6D411020" w14:textId="23B9E4F2"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0C7CAB">
        <w:rPr>
          <w:rFonts w:cstheme="minorHAnsi"/>
          <w:sz w:val="20"/>
          <w:szCs w:val="20"/>
          <w:lang w:val="en-GB"/>
        </w:rPr>
        <w:t xml:space="preserve"> </w:t>
      </w:r>
      <w:r w:rsidR="00635B95" w:rsidRPr="00D91677">
        <w:rPr>
          <w:rFonts w:cstheme="minorHAnsi"/>
          <w:sz w:val="20"/>
          <w:szCs w:val="20"/>
          <w:lang w:val="en-GB"/>
        </w:rPr>
        <w:t xml:space="preserve"> </w:t>
      </w:r>
      <w:r w:rsidR="003743AB">
        <w:rPr>
          <w:rFonts w:cstheme="minorHAnsi"/>
          <w:sz w:val="20"/>
          <w:szCs w:val="20"/>
          <w:lang w:val="en-GB"/>
        </w:rPr>
        <w:t>1</w:t>
      </w:r>
      <w:r w:rsidR="00093BA9">
        <w:rPr>
          <w:rFonts w:cstheme="minorHAnsi"/>
          <w:sz w:val="20"/>
          <w:szCs w:val="20"/>
          <w:lang w:val="en-GB"/>
        </w:rPr>
        <w:t>9</w:t>
      </w:r>
      <w:r w:rsidR="003743AB">
        <w:rPr>
          <w:rFonts w:cstheme="minorHAnsi"/>
          <w:sz w:val="20"/>
          <w:szCs w:val="20"/>
          <w:lang w:val="en-GB"/>
        </w:rPr>
        <w:t xml:space="preserve"> July </w:t>
      </w:r>
      <w:r w:rsidR="004D580D" w:rsidRPr="00D91677">
        <w:rPr>
          <w:rFonts w:cstheme="minorHAnsi"/>
          <w:sz w:val="20"/>
          <w:szCs w:val="20"/>
          <w:lang w:val="en-GB"/>
        </w:rPr>
        <w:t>202</w:t>
      </w:r>
      <w:r w:rsidR="00A76979">
        <w:rPr>
          <w:rFonts w:cstheme="minorHAnsi"/>
          <w:sz w:val="20"/>
          <w:szCs w:val="20"/>
          <w:lang w:val="en-GB"/>
        </w:rPr>
        <w:t>3</w:t>
      </w:r>
    </w:p>
    <w:p w14:paraId="741491DC" w14:textId="77777777" w:rsidR="00092BB7" w:rsidRPr="00D91677" w:rsidRDefault="00092BB7" w:rsidP="002329A0">
      <w:pPr>
        <w:autoSpaceDE w:val="0"/>
        <w:autoSpaceDN w:val="0"/>
        <w:adjustRightInd w:val="0"/>
        <w:spacing w:after="0" w:line="240" w:lineRule="auto"/>
        <w:jc w:val="both"/>
        <w:rPr>
          <w:rFonts w:cstheme="minorHAnsi"/>
          <w:sz w:val="20"/>
          <w:szCs w:val="20"/>
          <w:lang w:val="en-GB"/>
        </w:rPr>
      </w:pPr>
    </w:p>
    <w:p w14:paraId="542C9709" w14:textId="2BA880DB"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w:t>
      </w:r>
      <w:r w:rsidR="00093BA9">
        <w:rPr>
          <w:rFonts w:cstheme="minorHAnsi"/>
          <w:b/>
          <w:bCs/>
          <w:caps/>
          <w:sz w:val="20"/>
          <w:szCs w:val="20"/>
          <w:lang w:val="en-GB"/>
        </w:rPr>
        <w:t>37</w:t>
      </w:r>
      <w:r w:rsidR="00D11064">
        <w:rPr>
          <w:rFonts w:cstheme="minorHAnsi"/>
          <w:b/>
          <w:bCs/>
          <w:caps/>
          <w:sz w:val="20"/>
          <w:szCs w:val="20"/>
          <w:lang w:val="en-GB"/>
        </w:rPr>
        <w:t>/</w:t>
      </w:r>
      <w:r w:rsidR="004D580D" w:rsidRPr="00D91677">
        <w:rPr>
          <w:rFonts w:cstheme="minorHAnsi"/>
          <w:b/>
          <w:bCs/>
          <w:caps/>
          <w:sz w:val="20"/>
          <w:szCs w:val="20"/>
          <w:lang w:val="en-GB"/>
        </w:rPr>
        <w:t>202</w:t>
      </w:r>
      <w:r w:rsidR="00A76979">
        <w:rPr>
          <w:rFonts w:cstheme="minorHAnsi"/>
          <w:b/>
          <w:bCs/>
          <w:caps/>
          <w:sz w:val="20"/>
          <w:szCs w:val="20"/>
          <w:lang w:val="en-GB"/>
        </w:rPr>
        <w:t>3</w:t>
      </w:r>
    </w:p>
    <w:p w14:paraId="7A640EB2" w14:textId="648A9985" w:rsidR="00714E3A" w:rsidRPr="00714E3A" w:rsidRDefault="00714E3A" w:rsidP="002329A0">
      <w:pPr>
        <w:autoSpaceDE w:val="0"/>
        <w:autoSpaceDN w:val="0"/>
        <w:adjustRightInd w:val="0"/>
        <w:spacing w:after="0" w:line="240" w:lineRule="auto"/>
        <w:jc w:val="center"/>
        <w:rPr>
          <w:rFonts w:cstheme="minorHAnsi"/>
          <w:b/>
          <w:bCs/>
          <w:caps/>
          <w:color w:val="FF0000"/>
          <w:sz w:val="20"/>
          <w:szCs w:val="20"/>
          <w:lang w:val="en-GB"/>
        </w:rPr>
      </w:pPr>
      <w:r>
        <w:rPr>
          <w:rFonts w:cstheme="minorHAnsi"/>
          <w:b/>
          <w:bCs/>
          <w:caps/>
          <w:color w:val="FF0000"/>
          <w:sz w:val="20"/>
          <w:szCs w:val="20"/>
          <w:lang w:val="en-GB"/>
        </w:rPr>
        <w:t>(modification dated 27.07.2023)</w:t>
      </w:r>
    </w:p>
    <w:p w14:paraId="27430757" w14:textId="19160749" w:rsidR="000A77C5" w:rsidRPr="00D167FE" w:rsidRDefault="003743AB" w:rsidP="000A77C5">
      <w:pPr>
        <w:autoSpaceDE w:val="0"/>
        <w:autoSpaceDN w:val="0"/>
        <w:adjustRightInd w:val="0"/>
        <w:spacing w:after="0" w:line="240" w:lineRule="auto"/>
        <w:jc w:val="center"/>
        <w:rPr>
          <w:rFonts w:cstheme="minorHAnsi"/>
          <w:sz w:val="20"/>
          <w:szCs w:val="20"/>
          <w:lang w:val="en-US"/>
        </w:rPr>
      </w:pPr>
      <w:r>
        <w:rPr>
          <w:rFonts w:cstheme="minorHAnsi"/>
          <w:b/>
          <w:sz w:val="20"/>
          <w:szCs w:val="20"/>
          <w:lang w:val="en-GB"/>
        </w:rPr>
        <w:t>for</w:t>
      </w:r>
      <w:r w:rsidR="00A76979">
        <w:rPr>
          <w:b/>
          <w:sz w:val="20"/>
          <w:szCs w:val="20"/>
          <w:lang w:val="en-US"/>
        </w:rPr>
        <w:br/>
      </w:r>
      <w:r w:rsidRPr="003743AB">
        <w:rPr>
          <w:rFonts w:cstheme="minorHAnsi"/>
          <w:b/>
          <w:bCs/>
          <w:sz w:val="20"/>
          <w:szCs w:val="20"/>
          <w:lang w:val="en-US"/>
        </w:rPr>
        <w:t>Generation of Rosa26</w:t>
      </w:r>
      <w:r w:rsidRPr="003743AB">
        <w:rPr>
          <w:rFonts w:eastAsia="Batang" w:cstheme="minorHAnsi"/>
          <w:b/>
          <w:bCs/>
          <w:sz w:val="20"/>
          <w:szCs w:val="20"/>
          <w:lang w:val="en-US"/>
        </w:rPr>
        <w:t>3XFLAG-mouse ZNF598 conditional knock-in mouse</w:t>
      </w:r>
    </w:p>
    <w:p w14:paraId="77A8F8FE" w14:textId="45967F40" w:rsidR="00092BB7" w:rsidRPr="00D91677" w:rsidRDefault="009D5954"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to</w:t>
      </w:r>
      <w:r w:rsidR="00092BB7" w:rsidRPr="00D91677">
        <w:rPr>
          <w:rFonts w:cstheme="minorHAnsi"/>
          <w:sz w:val="20"/>
          <w:szCs w:val="20"/>
          <w:lang w:val="en-GB"/>
        </w:rPr>
        <w:t xml:space="preserve"> the </w:t>
      </w:r>
      <w:proofErr w:type="spellStart"/>
      <w:r w:rsidR="00092BB7" w:rsidRPr="00D91677">
        <w:rPr>
          <w:rFonts w:cstheme="minorHAnsi"/>
          <w:sz w:val="20"/>
          <w:szCs w:val="20"/>
          <w:lang w:val="en-GB"/>
        </w:rPr>
        <w:t>Marceli</w:t>
      </w:r>
      <w:proofErr w:type="spellEnd"/>
      <w:r w:rsidR="00092BB7" w:rsidRPr="00D91677">
        <w:rPr>
          <w:rFonts w:cstheme="minorHAnsi"/>
          <w:sz w:val="20"/>
          <w:szCs w:val="20"/>
          <w:lang w:val="en-GB"/>
        </w:rPr>
        <w:t xml:space="preserve"> Nencki Institute of Experimental Biology</w:t>
      </w:r>
    </w:p>
    <w:p w14:paraId="286524A8"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14:paraId="4B3C0896"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p>
    <w:p w14:paraId="59224E3D"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14:paraId="14205BA5"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with registered office at 3 </w:t>
      </w:r>
      <w:proofErr w:type="spellStart"/>
      <w:r w:rsidRPr="00D91677">
        <w:rPr>
          <w:rFonts w:cstheme="minorHAnsi"/>
          <w:sz w:val="20"/>
          <w:szCs w:val="20"/>
          <w:lang w:val="en-GB"/>
        </w:rPr>
        <w:t>Pasteura</w:t>
      </w:r>
      <w:proofErr w:type="spellEnd"/>
      <w:r w:rsidRPr="00D91677">
        <w:rPr>
          <w:rFonts w:cstheme="minorHAnsi"/>
          <w:sz w:val="20"/>
          <w:szCs w:val="20"/>
          <w:lang w:val="en-GB"/>
        </w:rPr>
        <w:t xml:space="preserve"> Street, Warsaw (02-093), NIP:525-000-92-69, REGON 000325825</w:t>
      </w:r>
    </w:p>
    <w:p w14:paraId="3868887B" w14:textId="77777777" w:rsidR="00092BB7" w:rsidRPr="00D91677" w:rsidRDefault="00092BB7" w:rsidP="002329A0">
      <w:pPr>
        <w:autoSpaceDE w:val="0"/>
        <w:autoSpaceDN w:val="0"/>
        <w:adjustRightInd w:val="0"/>
        <w:spacing w:after="0" w:line="240" w:lineRule="auto"/>
        <w:rPr>
          <w:rFonts w:cstheme="minorHAnsi"/>
          <w:sz w:val="20"/>
          <w:szCs w:val="20"/>
          <w:lang w:val="en-GB"/>
        </w:rPr>
      </w:pPr>
    </w:p>
    <w:p w14:paraId="1D48B1B9" w14:textId="3AB2E9B6"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3743AB">
        <w:rPr>
          <w:rFonts w:cstheme="minorHAnsi"/>
          <w:sz w:val="20"/>
          <w:szCs w:val="20"/>
          <w:lang w:val="en-GB"/>
        </w:rPr>
        <w:t xml:space="preserve">Filip </w:t>
      </w:r>
      <w:proofErr w:type="spellStart"/>
      <w:r w:rsidR="003743AB">
        <w:rPr>
          <w:rFonts w:cstheme="minorHAnsi"/>
          <w:sz w:val="20"/>
          <w:szCs w:val="20"/>
          <w:lang w:val="en-GB"/>
        </w:rPr>
        <w:t>Dziaczkowski</w:t>
      </w:r>
      <w:proofErr w:type="spellEnd"/>
      <w:r w:rsidR="003743AB">
        <w:rPr>
          <w:rFonts w:cstheme="minorHAnsi"/>
          <w:sz w:val="20"/>
          <w:szCs w:val="20"/>
          <w:lang w:val="en-GB"/>
        </w:rPr>
        <w:t xml:space="preserve"> </w:t>
      </w:r>
    </w:p>
    <w:p w14:paraId="08D6D449" w14:textId="443139A5"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hyperlink r:id="rId8" w:history="1">
        <w:r w:rsidR="003743AB" w:rsidRPr="001F4F64">
          <w:rPr>
            <w:rStyle w:val="Hipercze"/>
            <w:rFonts w:cstheme="minorHAnsi"/>
            <w:sz w:val="20"/>
            <w:szCs w:val="20"/>
            <w:lang w:val="en-US"/>
          </w:rPr>
          <w:t>f.dziaczkowski@nencki.edu.pl</w:t>
        </w:r>
      </w:hyperlink>
    </w:p>
    <w:p w14:paraId="349AB256" w14:textId="6DE3FEB0"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no later than</w:t>
      </w:r>
      <w:r w:rsidR="000A77C5">
        <w:rPr>
          <w:rFonts w:cstheme="minorHAnsi"/>
          <w:b/>
          <w:bCs/>
          <w:sz w:val="20"/>
          <w:szCs w:val="20"/>
          <w:lang w:val="en-GB"/>
        </w:rPr>
        <w:t xml:space="preserve"> </w:t>
      </w:r>
      <w:r w:rsidR="00714E3A" w:rsidRPr="00714E3A">
        <w:rPr>
          <w:rFonts w:cstheme="minorHAnsi"/>
          <w:b/>
          <w:bCs/>
          <w:color w:val="FF0000"/>
          <w:sz w:val="20"/>
          <w:szCs w:val="20"/>
          <w:lang w:val="en-GB"/>
        </w:rPr>
        <w:t>02</w:t>
      </w:r>
      <w:r w:rsidR="00635B95" w:rsidRPr="00714E3A">
        <w:rPr>
          <w:rFonts w:cstheme="minorHAnsi"/>
          <w:b/>
          <w:bCs/>
          <w:color w:val="FF0000"/>
          <w:sz w:val="20"/>
          <w:szCs w:val="20"/>
          <w:lang w:val="en-GB"/>
        </w:rPr>
        <w:t xml:space="preserve"> </w:t>
      </w:r>
      <w:r w:rsidR="00714E3A" w:rsidRPr="00714E3A">
        <w:rPr>
          <w:rFonts w:cstheme="minorHAnsi"/>
          <w:b/>
          <w:bCs/>
          <w:color w:val="FF0000"/>
          <w:sz w:val="20"/>
          <w:szCs w:val="20"/>
          <w:lang w:val="en-GB"/>
        </w:rPr>
        <w:t>August</w:t>
      </w:r>
      <w:r w:rsidR="003743AB" w:rsidRPr="00714E3A">
        <w:rPr>
          <w:rFonts w:cstheme="minorHAnsi"/>
          <w:b/>
          <w:bCs/>
          <w:color w:val="FF0000"/>
          <w:sz w:val="20"/>
          <w:szCs w:val="20"/>
          <w:lang w:val="en-GB"/>
        </w:rPr>
        <w:t xml:space="preserve"> </w:t>
      </w:r>
      <w:r w:rsidR="004D580D" w:rsidRPr="00D91677">
        <w:rPr>
          <w:rFonts w:cstheme="minorHAnsi"/>
          <w:b/>
          <w:bCs/>
          <w:sz w:val="20"/>
          <w:szCs w:val="20"/>
          <w:lang w:val="en-GB"/>
        </w:rPr>
        <w:t>202</w:t>
      </w:r>
      <w:r w:rsidR="00A76979">
        <w:rPr>
          <w:rFonts w:cstheme="minorHAnsi"/>
          <w:b/>
          <w:bCs/>
          <w:sz w:val="20"/>
          <w:szCs w:val="20"/>
          <w:lang w:val="en-GB"/>
        </w:rPr>
        <w:t>3</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14:paraId="2DB86177" w14:textId="77777777" w:rsidR="004D580D" w:rsidRPr="00D91677" w:rsidRDefault="004D580D" w:rsidP="002329A0">
      <w:pPr>
        <w:autoSpaceDE w:val="0"/>
        <w:autoSpaceDN w:val="0"/>
        <w:adjustRightInd w:val="0"/>
        <w:spacing w:after="0" w:line="240" w:lineRule="auto"/>
        <w:rPr>
          <w:rFonts w:cstheme="minorHAnsi"/>
          <w:sz w:val="20"/>
          <w:szCs w:val="20"/>
          <w:lang w:val="en-GB"/>
        </w:rPr>
      </w:pPr>
    </w:p>
    <w:p w14:paraId="157FCC01"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14:paraId="62C1F790" w14:textId="77777777" w:rsidR="00EC5496" w:rsidRPr="000C7CAB" w:rsidRDefault="00EC5496" w:rsidP="00F4300A">
      <w:pPr>
        <w:autoSpaceDE w:val="0"/>
        <w:autoSpaceDN w:val="0"/>
        <w:adjustRightInd w:val="0"/>
        <w:spacing w:after="0" w:line="240" w:lineRule="auto"/>
        <w:jc w:val="both"/>
        <w:rPr>
          <w:rFonts w:cstheme="minorHAnsi"/>
          <w:b/>
          <w:bCs/>
          <w:sz w:val="20"/>
          <w:szCs w:val="20"/>
          <w:lang w:val="en-GB"/>
        </w:rPr>
      </w:pPr>
    </w:p>
    <w:p w14:paraId="44BB74DB" w14:textId="77C2FE12" w:rsidR="003743AB" w:rsidRPr="00D167FE" w:rsidRDefault="00F4300A" w:rsidP="003743AB">
      <w:pPr>
        <w:jc w:val="both"/>
        <w:rPr>
          <w:rFonts w:cstheme="minorHAnsi"/>
          <w:sz w:val="20"/>
          <w:szCs w:val="20"/>
          <w:lang w:val="en-US"/>
        </w:rPr>
      </w:pPr>
      <w:r w:rsidRPr="000C7CAB">
        <w:rPr>
          <w:rFonts w:cstheme="minorHAnsi"/>
          <w:sz w:val="20"/>
          <w:szCs w:val="20"/>
          <w:lang w:val="en-GB"/>
        </w:rPr>
        <w:t>The subject matter of the contract is</w:t>
      </w:r>
      <w:r w:rsidR="00700083" w:rsidRPr="000C7CAB">
        <w:rPr>
          <w:rFonts w:cstheme="minorHAnsi"/>
          <w:sz w:val="20"/>
          <w:szCs w:val="20"/>
          <w:lang w:val="en-GB"/>
        </w:rPr>
        <w:t>:</w:t>
      </w:r>
      <w:r w:rsidR="003743AB">
        <w:rPr>
          <w:rFonts w:cstheme="minorHAnsi"/>
          <w:sz w:val="20"/>
          <w:szCs w:val="20"/>
          <w:lang w:val="en-GB"/>
        </w:rPr>
        <w:t xml:space="preserve"> </w:t>
      </w:r>
      <w:r w:rsidR="003743AB" w:rsidRPr="003743AB">
        <w:rPr>
          <w:rFonts w:cstheme="minorHAnsi"/>
          <w:sz w:val="20"/>
          <w:szCs w:val="20"/>
          <w:u w:val="single"/>
          <w:lang w:val="en-US"/>
        </w:rPr>
        <w:t>Generation of Rosa26</w:t>
      </w:r>
      <w:r w:rsidR="003743AB" w:rsidRPr="003743AB">
        <w:rPr>
          <w:rFonts w:eastAsia="Batang" w:cstheme="minorHAnsi"/>
          <w:sz w:val="20"/>
          <w:szCs w:val="20"/>
          <w:u w:val="single"/>
          <w:lang w:val="en-US"/>
        </w:rPr>
        <w:t>3XFLAG-mouse ZNF598 conditional knock-in mouse</w:t>
      </w:r>
    </w:p>
    <w:p w14:paraId="7F8A72AF"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 xml:space="preserve">Mouse Rosa26 3XFLAG-mouse ZNF598 conditional knock-in mouse </w:t>
      </w:r>
    </w:p>
    <w:p w14:paraId="7D5EAFE9"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3XFLAG-mouse Zfp598 will be inserted into the mouse Rosa26 locus. The generation of a ROSA26 knock-in (KI) mouse model will be established by CRISPR/Cas9 technology</w:t>
      </w:r>
    </w:p>
    <w:p w14:paraId="348F8617"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genotype (including DNA sequence and insertion locations of exogenous elements) of the constructed mouse model will be in agreement with the project design. If service provider is unable to achieve germline transmission and deliver gene-targeted animals to the Customer, service provider will refund all funds paid by the Customer unless it is caused by the gene modification itself, such as potential pathological phenotype caused by the expression of exogenous gene, which would affect the final product delivery.</w:t>
      </w:r>
    </w:p>
    <w:p w14:paraId="0117F15B"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Genotyping Strategy will be developed and tested</w:t>
      </w:r>
    </w:p>
    <w:p w14:paraId="0E92F11A"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pups will be genotyped by PCR to identify the ones carrying the desired transgene</w:t>
      </w:r>
    </w:p>
    <w:p w14:paraId="36381909"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ROSA26 knock-in vector will be co-injected with sgRNA and Cas9 mRNA into fertilized eggs from C57BL/6N mice.</w:t>
      </w:r>
    </w:p>
    <w:p w14:paraId="21254227" w14:textId="0E99EB08"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At least 400 eggs will be injected and implanted into surrogate mothers to produce live pups</w:t>
      </w:r>
    </w:p>
    <w:p w14:paraId="41DA5A5D" w14:textId="26B25429" w:rsidR="003743AB" w:rsidRDefault="003743AB" w:rsidP="003743AB">
      <w:pPr>
        <w:spacing w:after="0" w:line="240" w:lineRule="auto"/>
        <w:ind w:right="-1"/>
        <w:rPr>
          <w:rFonts w:eastAsia="Batang" w:cstheme="minorHAnsi"/>
          <w:lang w:val="en-US"/>
        </w:rPr>
      </w:pPr>
    </w:p>
    <w:p w14:paraId="3E406DA0" w14:textId="77777777" w:rsidR="003743AB" w:rsidRDefault="003743AB" w:rsidP="003743AB">
      <w:pPr>
        <w:ind w:right="-1"/>
        <w:jc w:val="both"/>
        <w:rPr>
          <w:rFonts w:eastAsia="Batang" w:cstheme="minorHAnsi"/>
          <w:sz w:val="20"/>
          <w:szCs w:val="20"/>
          <w:lang w:val="en-US"/>
        </w:rPr>
      </w:pPr>
      <w:r w:rsidRPr="003743AB">
        <w:rPr>
          <w:rFonts w:eastAsia="Batang" w:cstheme="minorHAnsi"/>
          <w:b/>
          <w:sz w:val="20"/>
          <w:szCs w:val="20"/>
          <w:lang w:val="en-US"/>
        </w:rPr>
        <w:t>Time of delivery:</w:t>
      </w:r>
      <w:r w:rsidRPr="003743AB">
        <w:rPr>
          <w:rFonts w:eastAsia="Batang" w:cstheme="minorHAnsi"/>
          <w:sz w:val="20"/>
          <w:szCs w:val="20"/>
          <w:lang w:val="en-US"/>
        </w:rPr>
        <w:t xml:space="preserve"> 6-8 months</w:t>
      </w:r>
    </w:p>
    <w:p w14:paraId="6D730E12" w14:textId="390274EC" w:rsidR="003743AB" w:rsidRDefault="003743AB" w:rsidP="003743AB">
      <w:pPr>
        <w:ind w:right="-1"/>
        <w:jc w:val="both"/>
        <w:rPr>
          <w:rFonts w:eastAsia="Batang" w:cstheme="minorHAnsi"/>
          <w:sz w:val="20"/>
          <w:szCs w:val="20"/>
          <w:lang w:val="en-US"/>
        </w:rPr>
      </w:pPr>
      <w:r w:rsidRPr="003743AB">
        <w:rPr>
          <w:rFonts w:eastAsia="Batang" w:cstheme="minorHAnsi"/>
          <w:b/>
          <w:sz w:val="20"/>
          <w:szCs w:val="20"/>
          <w:lang w:val="en-US"/>
        </w:rPr>
        <w:t>Payment:</w:t>
      </w:r>
      <w:r w:rsidRPr="003743AB">
        <w:rPr>
          <w:rFonts w:eastAsia="Batang" w:cstheme="minorHAnsi"/>
          <w:sz w:val="20"/>
          <w:szCs w:val="20"/>
          <w:lang w:val="en-US"/>
        </w:rPr>
        <w:t xml:space="preserve"> 50% - pro forma; 50% after realized of the service</w:t>
      </w:r>
    </w:p>
    <w:p w14:paraId="3CE5DAD8" w14:textId="722B0230" w:rsidR="00167854" w:rsidRDefault="00167854" w:rsidP="003743AB">
      <w:pPr>
        <w:ind w:right="-1"/>
        <w:jc w:val="both"/>
        <w:rPr>
          <w:rFonts w:eastAsia="Batang" w:cstheme="minorHAnsi"/>
          <w:sz w:val="20"/>
          <w:szCs w:val="20"/>
          <w:u w:val="single"/>
          <w:lang w:val="en-US"/>
        </w:rPr>
      </w:pPr>
      <w:r w:rsidRPr="00167854">
        <w:rPr>
          <w:rFonts w:eastAsia="Batang" w:cstheme="minorHAnsi"/>
          <w:sz w:val="20"/>
          <w:szCs w:val="20"/>
          <w:u w:val="single"/>
          <w:lang w:val="en-US"/>
        </w:rPr>
        <w:t>The Contractor undertakes to:</w:t>
      </w:r>
    </w:p>
    <w:p w14:paraId="7AECFC07" w14:textId="77777777" w:rsidR="00167854" w:rsidRPr="008038BE" w:rsidRDefault="00167854" w:rsidP="008038BE">
      <w:pPr>
        <w:pStyle w:val="Akapitzlist"/>
        <w:numPr>
          <w:ilvl w:val="0"/>
          <w:numId w:val="37"/>
        </w:numPr>
        <w:spacing w:after="0" w:line="240" w:lineRule="auto"/>
        <w:rPr>
          <w:rFonts w:eastAsia="Batang" w:cstheme="minorHAnsi"/>
          <w:sz w:val="20"/>
          <w:szCs w:val="20"/>
          <w:lang w:val="en-US"/>
        </w:rPr>
      </w:pPr>
      <w:r w:rsidRPr="008038BE">
        <w:rPr>
          <w:rFonts w:eastAsia="Batang" w:cstheme="minorHAnsi"/>
          <w:sz w:val="20"/>
          <w:szCs w:val="20"/>
          <w:lang w:val="en-US"/>
        </w:rPr>
        <w:t>A minimum of 4 Knockout heterozygous mutant mice will be delivered</w:t>
      </w:r>
    </w:p>
    <w:p w14:paraId="4B7D7DF6" w14:textId="77777777" w:rsidR="008038BE" w:rsidRPr="008038BE" w:rsidRDefault="00167854" w:rsidP="008038BE">
      <w:pPr>
        <w:pStyle w:val="Akapitzlist"/>
        <w:numPr>
          <w:ilvl w:val="0"/>
          <w:numId w:val="37"/>
        </w:numPr>
        <w:spacing w:after="0" w:line="240" w:lineRule="auto"/>
        <w:jc w:val="both"/>
        <w:rPr>
          <w:rFonts w:eastAsia="Batang" w:cstheme="minorHAnsi"/>
          <w:sz w:val="20"/>
          <w:szCs w:val="20"/>
          <w:lang w:val="en-US"/>
        </w:rPr>
      </w:pPr>
      <w:r w:rsidRPr="008038BE">
        <w:rPr>
          <w:rFonts w:eastAsia="Batang" w:cstheme="minorHAnsi"/>
          <w:sz w:val="20"/>
          <w:szCs w:val="20"/>
          <w:lang w:val="en-US"/>
        </w:rPr>
        <w:t>International Customs Documents Fee and delivery</w:t>
      </w:r>
    </w:p>
    <w:p w14:paraId="080B18F3" w14:textId="1C3C2C55" w:rsidR="000A77C5" w:rsidRPr="008038BE" w:rsidRDefault="003743AB" w:rsidP="008038BE">
      <w:pPr>
        <w:pStyle w:val="Akapitzlist"/>
        <w:numPr>
          <w:ilvl w:val="0"/>
          <w:numId w:val="37"/>
        </w:numPr>
        <w:spacing w:after="0" w:line="240" w:lineRule="auto"/>
        <w:jc w:val="both"/>
        <w:rPr>
          <w:rFonts w:cstheme="minorHAnsi"/>
          <w:b/>
          <w:sz w:val="20"/>
          <w:szCs w:val="20"/>
          <w:lang w:val="en-US"/>
        </w:rPr>
      </w:pPr>
      <w:r w:rsidRPr="008038BE">
        <w:rPr>
          <w:rFonts w:eastAsia="Batang" w:cstheme="minorHAnsi"/>
          <w:sz w:val="20"/>
          <w:szCs w:val="20"/>
          <w:lang w:val="en-US"/>
        </w:rPr>
        <w:t>If animals will be not generated Contractor will fully refund service fee</w:t>
      </w:r>
      <w:r w:rsidR="008038BE" w:rsidRPr="008038BE">
        <w:rPr>
          <w:rFonts w:eastAsia="Batang" w:cstheme="minorHAnsi"/>
          <w:sz w:val="20"/>
          <w:szCs w:val="20"/>
          <w:lang w:val="en-US"/>
        </w:rPr>
        <w:t xml:space="preserve"> (customs documents fee and delivery)</w:t>
      </w:r>
    </w:p>
    <w:p w14:paraId="50AF7BDA" w14:textId="772F409F" w:rsidR="00B57814" w:rsidRPr="008038BE" w:rsidRDefault="00B57814" w:rsidP="000C7CAB">
      <w:pPr>
        <w:tabs>
          <w:tab w:val="left" w:pos="709"/>
        </w:tabs>
        <w:autoSpaceDE w:val="0"/>
        <w:autoSpaceDN w:val="0"/>
        <w:adjustRightInd w:val="0"/>
        <w:spacing w:after="0" w:line="240" w:lineRule="auto"/>
        <w:rPr>
          <w:rFonts w:cstheme="minorHAnsi"/>
          <w:b/>
          <w:sz w:val="20"/>
          <w:szCs w:val="20"/>
          <w:lang w:val="en-US"/>
        </w:rPr>
      </w:pPr>
    </w:p>
    <w:p w14:paraId="39488787"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14:paraId="2E841099" w14:textId="1A913821" w:rsidR="00012FAC" w:rsidRDefault="00F4300A" w:rsidP="00012FAC">
      <w:pPr>
        <w:autoSpaceDE w:val="0"/>
        <w:autoSpaceDN w:val="0"/>
        <w:adjustRightInd w:val="0"/>
        <w:jc w:val="both"/>
        <w:rPr>
          <w:rFonts w:cstheme="minorHAnsi"/>
          <w:bCs/>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14:paraId="1B7D8D29"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14:paraId="3A9D0DA0"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14:paraId="362081A7"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14:paraId="181AA4E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14:paraId="51362051"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lastRenderedPageBreak/>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14:paraId="2482A5C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p>
    <w:p w14:paraId="431FBCA2"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offer should be specified to two decimal places.</w:t>
      </w:r>
    </w:p>
    <w:p w14:paraId="339462CD"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14:paraId="5E9F250B"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14:paraId="1A5CF748"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14:paraId="7B87484A"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does not allow settlements in foreign currencies.</w:t>
      </w:r>
    </w:p>
    <w:p w14:paraId="0FED357F" w14:textId="27EF6899" w:rsidR="00F4300A" w:rsidRDefault="00F4300A" w:rsidP="00701034">
      <w:pPr>
        <w:pStyle w:val="Akapitzlist"/>
        <w:numPr>
          <w:ilvl w:val="0"/>
          <w:numId w:val="31"/>
        </w:numPr>
        <w:autoSpaceDE w:val="0"/>
        <w:autoSpaceDN w:val="0"/>
        <w:adjustRightInd w:val="0"/>
        <w:spacing w:after="0" w:line="240" w:lineRule="auto"/>
        <w:ind w:left="426" w:right="-46" w:hanging="426"/>
        <w:jc w:val="both"/>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0C7CAB">
        <w:rPr>
          <w:rFonts w:cstheme="minorHAnsi"/>
          <w:color w:val="000000"/>
          <w:sz w:val="20"/>
          <w:szCs w:val="20"/>
          <w:lang w:val="en-GB"/>
        </w:rPr>
        <w:t xml:space="preserve"> </w:t>
      </w:r>
      <w:hyperlink r:id="rId9" w:history="1">
        <w:r w:rsidR="008038BE" w:rsidRPr="001F4F64">
          <w:rPr>
            <w:rStyle w:val="Hipercze"/>
            <w:rFonts w:cstheme="minorHAnsi"/>
            <w:sz w:val="20"/>
            <w:szCs w:val="20"/>
            <w:lang w:val="en-GB"/>
          </w:rPr>
          <w:t>f.dziaczkowski@nencki.edu.pl</w:t>
        </w:r>
      </w:hyperlink>
      <w:r w:rsidRPr="004C2097">
        <w:rPr>
          <w:rFonts w:cstheme="minorHAnsi"/>
          <w:color w:val="000000"/>
          <w:sz w:val="20"/>
          <w:szCs w:val="20"/>
          <w:lang w:val="en-GB"/>
        </w:rPr>
        <w:t>.</w:t>
      </w:r>
    </w:p>
    <w:p w14:paraId="56E83AA3" w14:textId="52A0CF5F" w:rsidR="00701034" w:rsidRPr="00701034" w:rsidRDefault="00701034" w:rsidP="00701034">
      <w:pPr>
        <w:pStyle w:val="Akapitzlist"/>
        <w:numPr>
          <w:ilvl w:val="0"/>
          <w:numId w:val="31"/>
        </w:numPr>
        <w:autoSpaceDE w:val="0"/>
        <w:autoSpaceDN w:val="0"/>
        <w:adjustRightInd w:val="0"/>
        <w:spacing w:after="0" w:line="240" w:lineRule="auto"/>
        <w:ind w:left="426" w:hanging="426"/>
        <w:jc w:val="both"/>
        <w:rPr>
          <w:rFonts w:cstheme="minorHAnsi"/>
          <w:sz w:val="20"/>
          <w:szCs w:val="20"/>
          <w:lang w:val="en-GB"/>
        </w:rPr>
      </w:pPr>
      <w:r w:rsidRPr="00701034">
        <w:rPr>
          <w:rFonts w:cstheme="minorHAnsi"/>
          <w:color w:val="000000"/>
          <w:sz w:val="20"/>
          <w:szCs w:val="20"/>
          <w:lang w:val="en-GB"/>
        </w:rPr>
        <w:t>Please mark your bid by adding in the subject line of your email:</w:t>
      </w:r>
      <w:r w:rsidR="000A77C5">
        <w:rPr>
          <w:rFonts w:cstheme="minorHAnsi"/>
          <w:color w:val="000000"/>
          <w:sz w:val="20"/>
          <w:szCs w:val="20"/>
          <w:lang w:val="en-GB"/>
        </w:rPr>
        <w:t xml:space="preserve"> </w:t>
      </w:r>
      <w:r w:rsidR="008038BE" w:rsidRPr="003743AB">
        <w:rPr>
          <w:rFonts w:asciiTheme="minorHAnsi" w:hAnsiTheme="minorHAnsi" w:cstheme="minorHAnsi"/>
          <w:b/>
          <w:bCs/>
          <w:sz w:val="20"/>
          <w:szCs w:val="20"/>
          <w:lang w:val="en-US"/>
        </w:rPr>
        <w:t>Generation of Rosa26</w:t>
      </w:r>
      <w:r w:rsidR="008038BE" w:rsidRPr="003743AB">
        <w:rPr>
          <w:rFonts w:asciiTheme="minorHAnsi" w:eastAsia="Batang" w:hAnsiTheme="minorHAnsi" w:cstheme="minorHAnsi"/>
          <w:b/>
          <w:bCs/>
          <w:sz w:val="20"/>
          <w:szCs w:val="20"/>
          <w:lang w:val="en-US"/>
        </w:rPr>
        <w:t>3XFLAG-mouse ZNF598 conditional knock-in mouse</w:t>
      </w:r>
      <w:r w:rsidR="008038BE">
        <w:rPr>
          <w:rFonts w:asciiTheme="minorHAnsi" w:eastAsia="Batang" w:hAnsiTheme="minorHAnsi" w:cstheme="minorHAnsi"/>
          <w:b/>
          <w:bCs/>
          <w:sz w:val="20"/>
          <w:szCs w:val="20"/>
          <w:lang w:val="en-US"/>
        </w:rPr>
        <w:t>.</w:t>
      </w:r>
    </w:p>
    <w:p w14:paraId="5AE64103"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14:paraId="4E58F6F7" w14:textId="77777777"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14:paraId="46074AA1"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14:paraId="20C6E7B8"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14:paraId="09B44089"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14:paraId="631C6E35"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non-rejectable bids will be evaluated.</w:t>
      </w:r>
    </w:p>
    <w:p w14:paraId="54BCC80F" w14:textId="77777777"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14:paraId="6953DB5C" w14:textId="77777777"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14:paraId="5113588C" w14:textId="77777777"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14:paraId="6E38E3EC" w14:textId="2A47256E"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to </w:t>
      </w:r>
      <w:r w:rsidR="008038BE">
        <w:rPr>
          <w:rFonts w:cstheme="minorHAnsi"/>
          <w:sz w:val="20"/>
          <w:szCs w:val="20"/>
          <w:lang w:val="en-GB"/>
        </w:rPr>
        <w:t>6-</w:t>
      </w:r>
      <w:r w:rsidR="00093BA9">
        <w:rPr>
          <w:rFonts w:cstheme="minorHAnsi"/>
          <w:sz w:val="20"/>
          <w:szCs w:val="20"/>
          <w:lang w:val="en-GB"/>
        </w:rPr>
        <w:t>8</w:t>
      </w:r>
      <w:r w:rsidR="008038BE">
        <w:rPr>
          <w:rFonts w:cstheme="minorHAnsi"/>
          <w:sz w:val="20"/>
          <w:szCs w:val="20"/>
          <w:lang w:val="en-GB"/>
        </w:rPr>
        <w:t xml:space="preserve"> months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14:paraId="178CD89C"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14:paraId="115EA687"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14:paraId="772731F3" w14:textId="77777777" w:rsidR="00F4300A" w:rsidRPr="00005FB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005FB7">
        <w:rPr>
          <w:rFonts w:cstheme="minorHAnsi"/>
          <w:sz w:val="20"/>
          <w:szCs w:val="20"/>
          <w:lang w:val="en-GB"/>
        </w:rPr>
        <w:t xml:space="preserve">The selection of the </w:t>
      </w:r>
      <w:r w:rsidR="003655FE" w:rsidRPr="00005FB7">
        <w:rPr>
          <w:rFonts w:cstheme="minorHAnsi"/>
          <w:sz w:val="20"/>
          <w:szCs w:val="20"/>
          <w:lang w:val="en-GB"/>
        </w:rPr>
        <w:t>Contractor</w:t>
      </w:r>
      <w:r w:rsidRPr="00005FB7">
        <w:rPr>
          <w:rFonts w:cstheme="minorHAnsi"/>
          <w:sz w:val="20"/>
          <w:szCs w:val="20"/>
          <w:lang w:val="en-GB"/>
        </w:rPr>
        <w:t xml:space="preserve"> will be announced on the Contracting Authority's website as soon as the procedure is completed.</w:t>
      </w:r>
    </w:p>
    <w:p w14:paraId="35B43E39" w14:textId="77777777" w:rsidR="008F38A3" w:rsidRPr="008F38A3" w:rsidRDefault="008F38A3" w:rsidP="008F38A3">
      <w:pPr>
        <w:pStyle w:val="Akapitzlist"/>
        <w:numPr>
          <w:ilvl w:val="0"/>
          <w:numId w:val="2"/>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14:paraId="5EC3EFCA"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14:paraId="1DD3057B"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14:paraId="193394D4" w14:textId="49EBD14C" w:rsidR="00402038" w:rsidRPr="00D91677" w:rsidRDefault="008F38A3" w:rsidP="000A77C5">
      <w:pPr>
        <w:pStyle w:val="Akapitzlist"/>
        <w:spacing w:line="240" w:lineRule="auto"/>
        <w:jc w:val="both"/>
        <w:rPr>
          <w:rFonts w:cstheme="minorHAnsi"/>
          <w:sz w:val="20"/>
          <w:szCs w:val="20"/>
          <w:lang w:val="en-GB"/>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14:paraId="605B829B" w14:textId="77777777"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lastRenderedPageBreak/>
        <w:t>Pasteur 3, 02-093 Warsaw,</w:t>
      </w:r>
      <w:r w:rsidR="00E138CF">
        <w:rPr>
          <w:rFonts w:asciiTheme="minorHAnsi" w:hAnsiTheme="minorHAnsi" w:cstheme="minorHAnsi"/>
          <w:color w:val="365F91"/>
          <w:lang w:val="en-GB"/>
        </w:rPr>
        <w:t xml:space="preserve"> </w:t>
      </w:r>
      <w:hyperlink r:id="rId10" w:history="1">
        <w:r w:rsidR="00E138CF" w:rsidRPr="00B612C9">
          <w:rPr>
            <w:rStyle w:val="Hipercze"/>
            <w:rFonts w:ascii="Calibri" w:hAnsi="Calibri" w:cs="Calibri"/>
            <w:lang w:val="en-GB"/>
          </w:rPr>
          <w:t>http://www.nencki.edu.pl_</w:t>
        </w:r>
      </w:hyperlink>
    </w:p>
    <w:sectPr w:rsidR="00BE4992" w:rsidRPr="00D91677" w:rsidSect="000A77C5">
      <w:pgSz w:w="11906" w:h="16838"/>
      <w:pgMar w:top="426"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5F11" w14:textId="77777777" w:rsidR="0053425B" w:rsidRDefault="0053425B" w:rsidP="00CC4D50">
      <w:pPr>
        <w:spacing w:after="0" w:line="240" w:lineRule="auto"/>
      </w:pPr>
      <w:r>
        <w:separator/>
      </w:r>
    </w:p>
  </w:endnote>
  <w:endnote w:type="continuationSeparator" w:id="0">
    <w:p w14:paraId="34BF8975" w14:textId="77777777" w:rsidR="0053425B" w:rsidRDefault="0053425B"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11CF" w14:textId="77777777" w:rsidR="0053425B" w:rsidRDefault="0053425B" w:rsidP="00CC4D50">
      <w:pPr>
        <w:spacing w:after="0" w:line="240" w:lineRule="auto"/>
      </w:pPr>
      <w:r>
        <w:separator/>
      </w:r>
    </w:p>
  </w:footnote>
  <w:footnote w:type="continuationSeparator" w:id="0">
    <w:p w14:paraId="4B9F64D8" w14:textId="77777777" w:rsidR="0053425B" w:rsidRDefault="0053425B" w:rsidP="00CC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75pt;height:19.5pt;visibility:visible" o:bullet="t">
        <v:imagedata r:id="rId1" o:title=""/>
      </v:shape>
    </w:pict>
  </w:numPicBullet>
  <w:numPicBullet w:numPicBulletId="1">
    <w:pict>
      <v:shape id="_x0000_i1071" type="#_x0000_t75" style="width:18.75pt;height:18.75pt;visibility:visible" o:bullet="t">
        <v:imagedata r:id="rId2" o:title=""/>
      </v:shape>
    </w:pict>
  </w:numPicBullet>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C9F4019"/>
    <w:multiLevelType w:val="hybridMultilevel"/>
    <w:tmpl w:val="7314453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72AA4"/>
    <w:multiLevelType w:val="hybridMultilevel"/>
    <w:tmpl w:val="10DC414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F6744C"/>
    <w:multiLevelType w:val="hybridMultilevel"/>
    <w:tmpl w:val="28A23832"/>
    <w:lvl w:ilvl="0" w:tplc="13F890B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15:restartNumberingAfterBreak="0">
    <w:nsid w:val="327B4E44"/>
    <w:multiLevelType w:val="hybridMultilevel"/>
    <w:tmpl w:val="A8044BE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15:restartNumberingAfterBreak="0">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C43038"/>
    <w:multiLevelType w:val="hybridMultilevel"/>
    <w:tmpl w:val="07966B4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480087"/>
    <w:multiLevelType w:val="hybridMultilevel"/>
    <w:tmpl w:val="C316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
  </w:num>
  <w:num w:numId="5">
    <w:abstractNumId w:val="19"/>
  </w:num>
  <w:num w:numId="6">
    <w:abstractNumId w:val="31"/>
  </w:num>
  <w:num w:numId="7">
    <w:abstractNumId w:val="24"/>
  </w:num>
  <w:num w:numId="8">
    <w:abstractNumId w:val="29"/>
  </w:num>
  <w:num w:numId="9">
    <w:abstractNumId w:val="7"/>
  </w:num>
  <w:num w:numId="10">
    <w:abstractNumId w:val="27"/>
  </w:num>
  <w:num w:numId="11">
    <w:abstractNumId w:val="8"/>
  </w:num>
  <w:num w:numId="12">
    <w:abstractNumId w:val="20"/>
  </w:num>
  <w:num w:numId="13">
    <w:abstractNumId w:val="25"/>
  </w:num>
  <w:num w:numId="14">
    <w:abstractNumId w:val="0"/>
  </w:num>
  <w:num w:numId="15">
    <w:abstractNumId w:val="16"/>
  </w:num>
  <w:num w:numId="16">
    <w:abstractNumId w:val="6"/>
  </w:num>
  <w:num w:numId="17">
    <w:abstractNumId w:val="30"/>
  </w:num>
  <w:num w:numId="18">
    <w:abstractNumId w:val="11"/>
  </w:num>
  <w:num w:numId="19">
    <w:abstractNumId w:val="28"/>
  </w:num>
  <w:num w:numId="20">
    <w:abstractNumId w:val="13"/>
  </w:num>
  <w:num w:numId="21">
    <w:abstractNumId w:val="22"/>
  </w:num>
  <w:num w:numId="22">
    <w:abstractNumId w:val="12"/>
  </w:num>
  <w:num w:numId="23">
    <w:abstractNumId w:val="1"/>
  </w:num>
  <w:num w:numId="24">
    <w:abstractNumId w:val="21"/>
  </w:num>
  <w:num w:numId="25">
    <w:abstractNumId w:val="3"/>
  </w:num>
  <w:num w:numId="26">
    <w:abstractNumId w:val="35"/>
  </w:num>
  <w:num w:numId="27">
    <w:abstractNumId w:val="26"/>
  </w:num>
  <w:num w:numId="28">
    <w:abstractNumId w:val="17"/>
  </w:num>
  <w:num w:numId="29">
    <w:abstractNumId w:val="32"/>
  </w:num>
  <w:num w:numId="30">
    <w:abstractNumId w:val="18"/>
  </w:num>
  <w:num w:numId="31">
    <w:abstractNumId w:val="9"/>
  </w:num>
  <w:num w:numId="32">
    <w:abstractNumId w:val="34"/>
  </w:num>
  <w:num w:numId="33">
    <w:abstractNumId w:val="15"/>
  </w:num>
  <w:num w:numId="34">
    <w:abstractNumId w:val="14"/>
  </w:num>
  <w:num w:numId="35">
    <w:abstractNumId w:val="10"/>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05FB7"/>
    <w:rsid w:val="00012FAC"/>
    <w:rsid w:val="00022033"/>
    <w:rsid w:val="000303AD"/>
    <w:rsid w:val="0004293D"/>
    <w:rsid w:val="00072891"/>
    <w:rsid w:val="00076946"/>
    <w:rsid w:val="00076C7B"/>
    <w:rsid w:val="00092BB7"/>
    <w:rsid w:val="00093BA9"/>
    <w:rsid w:val="000A77C5"/>
    <w:rsid w:val="000C7CAB"/>
    <w:rsid w:val="000E7B8A"/>
    <w:rsid w:val="000F6803"/>
    <w:rsid w:val="00121784"/>
    <w:rsid w:val="00136F7E"/>
    <w:rsid w:val="00145DA1"/>
    <w:rsid w:val="00167854"/>
    <w:rsid w:val="00177B5B"/>
    <w:rsid w:val="00184069"/>
    <w:rsid w:val="001951EB"/>
    <w:rsid w:val="001B786B"/>
    <w:rsid w:val="001C1619"/>
    <w:rsid w:val="00207BCA"/>
    <w:rsid w:val="002119D0"/>
    <w:rsid w:val="002329A0"/>
    <w:rsid w:val="00234399"/>
    <w:rsid w:val="002350CF"/>
    <w:rsid w:val="00267341"/>
    <w:rsid w:val="002730FA"/>
    <w:rsid w:val="002B1283"/>
    <w:rsid w:val="002B2791"/>
    <w:rsid w:val="002D54E0"/>
    <w:rsid w:val="002D5DDF"/>
    <w:rsid w:val="002F01FB"/>
    <w:rsid w:val="002F7841"/>
    <w:rsid w:val="00303D91"/>
    <w:rsid w:val="00310710"/>
    <w:rsid w:val="003655FE"/>
    <w:rsid w:val="00371199"/>
    <w:rsid w:val="00372802"/>
    <w:rsid w:val="003743AB"/>
    <w:rsid w:val="003905AB"/>
    <w:rsid w:val="003B2D5F"/>
    <w:rsid w:val="003F0483"/>
    <w:rsid w:val="003F15F5"/>
    <w:rsid w:val="003F1F68"/>
    <w:rsid w:val="00402038"/>
    <w:rsid w:val="00405297"/>
    <w:rsid w:val="0044648F"/>
    <w:rsid w:val="00456CE5"/>
    <w:rsid w:val="00472A61"/>
    <w:rsid w:val="00495020"/>
    <w:rsid w:val="004C2097"/>
    <w:rsid w:val="004C4572"/>
    <w:rsid w:val="004C4D54"/>
    <w:rsid w:val="004C7DFA"/>
    <w:rsid w:val="004D580D"/>
    <w:rsid w:val="00507502"/>
    <w:rsid w:val="00517112"/>
    <w:rsid w:val="0053425B"/>
    <w:rsid w:val="00574F05"/>
    <w:rsid w:val="00577D67"/>
    <w:rsid w:val="00586A03"/>
    <w:rsid w:val="005B7237"/>
    <w:rsid w:val="005C7C60"/>
    <w:rsid w:val="005E22C8"/>
    <w:rsid w:val="006068BC"/>
    <w:rsid w:val="00623E1F"/>
    <w:rsid w:val="00635B95"/>
    <w:rsid w:val="00643011"/>
    <w:rsid w:val="006622F2"/>
    <w:rsid w:val="006661CB"/>
    <w:rsid w:val="00695498"/>
    <w:rsid w:val="006961A0"/>
    <w:rsid w:val="006A35B5"/>
    <w:rsid w:val="006B2802"/>
    <w:rsid w:val="006C27E0"/>
    <w:rsid w:val="006C5887"/>
    <w:rsid w:val="006D2724"/>
    <w:rsid w:val="006D4FC5"/>
    <w:rsid w:val="00700083"/>
    <w:rsid w:val="00701034"/>
    <w:rsid w:val="00714E3A"/>
    <w:rsid w:val="007614B8"/>
    <w:rsid w:val="007E4DD8"/>
    <w:rsid w:val="007F42CE"/>
    <w:rsid w:val="008038BE"/>
    <w:rsid w:val="00813197"/>
    <w:rsid w:val="008138D3"/>
    <w:rsid w:val="0085705B"/>
    <w:rsid w:val="008F38A3"/>
    <w:rsid w:val="009222BA"/>
    <w:rsid w:val="0094678A"/>
    <w:rsid w:val="00963645"/>
    <w:rsid w:val="00973704"/>
    <w:rsid w:val="009D3DA8"/>
    <w:rsid w:val="009D5954"/>
    <w:rsid w:val="009E4E1D"/>
    <w:rsid w:val="009F2672"/>
    <w:rsid w:val="00A05A76"/>
    <w:rsid w:val="00A237E5"/>
    <w:rsid w:val="00A307CD"/>
    <w:rsid w:val="00A44FCF"/>
    <w:rsid w:val="00A67081"/>
    <w:rsid w:val="00A76979"/>
    <w:rsid w:val="00AA1C94"/>
    <w:rsid w:val="00AA2439"/>
    <w:rsid w:val="00AC68D9"/>
    <w:rsid w:val="00AD6AF2"/>
    <w:rsid w:val="00AF728A"/>
    <w:rsid w:val="00B40166"/>
    <w:rsid w:val="00B57814"/>
    <w:rsid w:val="00B608BB"/>
    <w:rsid w:val="00B64069"/>
    <w:rsid w:val="00B91BCC"/>
    <w:rsid w:val="00BB14EC"/>
    <w:rsid w:val="00BB740A"/>
    <w:rsid w:val="00BC2BA3"/>
    <w:rsid w:val="00BE4992"/>
    <w:rsid w:val="00BF019E"/>
    <w:rsid w:val="00C3133B"/>
    <w:rsid w:val="00C86369"/>
    <w:rsid w:val="00CA76D5"/>
    <w:rsid w:val="00CC4D50"/>
    <w:rsid w:val="00D11064"/>
    <w:rsid w:val="00D159E9"/>
    <w:rsid w:val="00D43851"/>
    <w:rsid w:val="00D52200"/>
    <w:rsid w:val="00D91677"/>
    <w:rsid w:val="00DB7C94"/>
    <w:rsid w:val="00DE5EDB"/>
    <w:rsid w:val="00DF4369"/>
    <w:rsid w:val="00E138CF"/>
    <w:rsid w:val="00E2192D"/>
    <w:rsid w:val="00E22B5B"/>
    <w:rsid w:val="00E4174F"/>
    <w:rsid w:val="00E74A93"/>
    <w:rsid w:val="00EB3B7D"/>
    <w:rsid w:val="00EC3C6B"/>
    <w:rsid w:val="00EC5496"/>
    <w:rsid w:val="00EE040C"/>
    <w:rsid w:val="00EF6A5A"/>
    <w:rsid w:val="00EF7E4D"/>
    <w:rsid w:val="00F0273C"/>
    <w:rsid w:val="00F1755F"/>
    <w:rsid w:val="00F4300A"/>
    <w:rsid w:val="00F521E4"/>
    <w:rsid w:val="00F758D7"/>
    <w:rsid w:val="00FA59EC"/>
    <w:rsid w:val="00FB1C29"/>
    <w:rsid w:val="00FC32DD"/>
    <w:rsid w:val="00FC54C7"/>
    <w:rsid w:val="00FD104C"/>
    <w:rsid w:val="00FE24CE"/>
    <w:rsid w:val="00FF1C24"/>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8114"/>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Nierozpoznanawzmianka">
    <w:name w:val="Unresolved Mention"/>
    <w:basedOn w:val="Domylnaczcionkaakapitu"/>
    <w:uiPriority w:val="99"/>
    <w:semiHidden/>
    <w:unhideWhenUsed/>
    <w:rsid w:val="00701034"/>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678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ziaczkowski@nencki.edu.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ncki.edu.pl_" TargetMode="External"/><Relationship Id="rId4" Type="http://schemas.openxmlformats.org/officeDocument/2006/relationships/webSettings" Target="webSettings.xml"/><Relationship Id="rId9" Type="http://schemas.openxmlformats.org/officeDocument/2006/relationships/hyperlink" Target="mailto:f.dziaczkowski@nencki.edu.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1251</Words>
  <Characters>7506</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11</cp:revision>
  <dcterms:created xsi:type="dcterms:W3CDTF">2023-06-28T08:13:00Z</dcterms:created>
  <dcterms:modified xsi:type="dcterms:W3CDTF">2023-07-26T13:32:00Z</dcterms:modified>
</cp:coreProperties>
</file>