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2CF2" w14:textId="77777777" w:rsidR="00092BB7" w:rsidRPr="00D91677" w:rsidRDefault="00092BB7" w:rsidP="002329A0">
      <w:pPr>
        <w:spacing w:after="0" w:line="240" w:lineRule="auto"/>
        <w:rPr>
          <w:rFonts w:cstheme="minorHAnsi"/>
          <w:noProof/>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27F1406B" w14:textId="64266A8F" w:rsidR="00092BB7" w:rsidRDefault="00092BB7" w:rsidP="002329A0">
      <w:pPr>
        <w:spacing w:after="0" w:line="240" w:lineRule="auto"/>
        <w:jc w:val="right"/>
        <w:rPr>
          <w:rFonts w:cstheme="minorHAnsi"/>
          <w:i/>
          <w:sz w:val="20"/>
          <w:szCs w:val="20"/>
          <w:lang w:val="en-GB"/>
        </w:rPr>
      </w:pPr>
    </w:p>
    <w:p w14:paraId="6D411020" w14:textId="068D298F"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1F2E3C">
        <w:rPr>
          <w:rFonts w:cstheme="minorHAnsi"/>
          <w:sz w:val="20"/>
          <w:szCs w:val="20"/>
          <w:lang w:val="en-GB"/>
        </w:rPr>
        <w:t xml:space="preserve"> 02 November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4075DD65"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2D7E1D">
        <w:rPr>
          <w:rFonts w:cstheme="minorHAnsi"/>
          <w:b/>
          <w:bCs/>
          <w:caps/>
          <w:sz w:val="20"/>
          <w:szCs w:val="20"/>
          <w:lang w:val="en-GB"/>
        </w:rPr>
        <w:t>54</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4DAB26AF" w14:textId="77777777" w:rsidR="00FF7CF6" w:rsidRPr="00D91677" w:rsidRDefault="00FF7CF6" w:rsidP="002329A0">
      <w:pPr>
        <w:autoSpaceDE w:val="0"/>
        <w:autoSpaceDN w:val="0"/>
        <w:adjustRightInd w:val="0"/>
        <w:spacing w:after="0" w:line="240" w:lineRule="auto"/>
        <w:jc w:val="center"/>
        <w:rPr>
          <w:rFonts w:cstheme="minorHAnsi"/>
          <w:b/>
          <w:bCs/>
          <w:caps/>
          <w:sz w:val="20"/>
          <w:szCs w:val="20"/>
          <w:lang w:val="en-GB"/>
        </w:rPr>
      </w:pPr>
    </w:p>
    <w:p w14:paraId="7E3FE53B" w14:textId="758A76B8" w:rsidR="00A76979" w:rsidRPr="00A76979" w:rsidRDefault="002D7E1D" w:rsidP="002329A0">
      <w:pPr>
        <w:autoSpaceDE w:val="0"/>
        <w:autoSpaceDN w:val="0"/>
        <w:adjustRightInd w:val="0"/>
        <w:spacing w:after="0" w:line="240" w:lineRule="auto"/>
        <w:jc w:val="center"/>
        <w:rPr>
          <w:rFonts w:cstheme="minorHAnsi"/>
          <w:b/>
          <w:sz w:val="20"/>
          <w:szCs w:val="20"/>
          <w:lang w:val="en-GB"/>
        </w:rPr>
      </w:pPr>
      <w:r>
        <w:rPr>
          <w:rFonts w:cstheme="minorHAnsi"/>
          <w:b/>
          <w:sz w:val="20"/>
          <w:szCs w:val="20"/>
          <w:lang w:val="en-GB"/>
        </w:rPr>
        <w:t xml:space="preserve">sample preprocessing service that includes organization, separation and documentation of samples collected as part of the collaboration between TREND LAB (Poland) and the University Clinical Center, Tuzla and Plava Polyclinic (Bosnia&amp;Herzegovina) </w:t>
      </w:r>
    </w:p>
    <w:p w14:paraId="77A8F8FE" w14:textId="77777777" w:rsidR="00092BB7" w:rsidRPr="00D91677" w:rsidRDefault="00FF7CF6"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for</w:t>
      </w:r>
      <w:r w:rsidR="00092BB7" w:rsidRPr="00D91677">
        <w:rPr>
          <w:rFonts w:cstheme="minorHAnsi"/>
          <w:sz w:val="20"/>
          <w:szCs w:val="20"/>
          <w:lang w:val="en-GB"/>
        </w:rPr>
        <w:t xml:space="preserve"> the Marceli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3DA28462" w:rsidR="00092BB7" w:rsidRPr="002D7E1D" w:rsidRDefault="00092BB7" w:rsidP="002329A0">
      <w:pPr>
        <w:autoSpaceDE w:val="0"/>
        <w:autoSpaceDN w:val="0"/>
        <w:adjustRightInd w:val="0"/>
        <w:spacing w:after="0" w:line="240" w:lineRule="auto"/>
        <w:rPr>
          <w:rFonts w:cstheme="minorHAnsi"/>
          <w:sz w:val="20"/>
          <w:szCs w:val="20"/>
          <w:lang w:val="en-US"/>
        </w:rPr>
      </w:pPr>
      <w:r w:rsidRPr="002D7E1D">
        <w:rPr>
          <w:rFonts w:cstheme="minorHAnsi"/>
          <w:sz w:val="20"/>
          <w:szCs w:val="20"/>
          <w:lang w:val="en-US"/>
        </w:rPr>
        <w:t>Procurement contact person:</w:t>
      </w:r>
      <w:r w:rsidR="004D580D" w:rsidRPr="002D7E1D">
        <w:rPr>
          <w:rFonts w:cstheme="minorHAnsi"/>
          <w:sz w:val="20"/>
          <w:szCs w:val="20"/>
          <w:lang w:val="en-US"/>
        </w:rPr>
        <w:t xml:space="preserve"> </w:t>
      </w:r>
      <w:r w:rsidR="00A76979" w:rsidRPr="002D7E1D">
        <w:rPr>
          <w:rFonts w:cstheme="minorHAnsi"/>
          <w:sz w:val="20"/>
          <w:szCs w:val="20"/>
          <w:lang w:val="en-US"/>
        </w:rPr>
        <w:t>P</w:t>
      </w:r>
      <w:r w:rsidR="002D7E1D" w:rsidRPr="002D7E1D">
        <w:rPr>
          <w:rFonts w:cstheme="minorHAnsi"/>
          <w:sz w:val="20"/>
          <w:szCs w:val="20"/>
          <w:lang w:val="en-US"/>
        </w:rPr>
        <w:t>atrycja Rojek</w:t>
      </w:r>
    </w:p>
    <w:p w14:paraId="08D6D449" w14:textId="1D04C4C2"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r w:rsidR="00A76979">
        <w:rPr>
          <w:rFonts w:cstheme="minorHAnsi"/>
          <w:sz w:val="20"/>
          <w:szCs w:val="20"/>
          <w:lang w:val="en-GB"/>
        </w:rPr>
        <w:t>p</w:t>
      </w:r>
      <w:r w:rsidR="00700083" w:rsidRPr="00D91677">
        <w:rPr>
          <w:rFonts w:cstheme="minorHAnsi"/>
          <w:sz w:val="20"/>
          <w:szCs w:val="20"/>
          <w:lang w:val="en-GB"/>
        </w:rPr>
        <w:t>.</w:t>
      </w:r>
      <w:r w:rsidR="002D7E1D">
        <w:rPr>
          <w:rFonts w:cstheme="minorHAnsi"/>
          <w:sz w:val="20"/>
          <w:szCs w:val="20"/>
          <w:lang w:val="en-GB"/>
        </w:rPr>
        <w:t>rojek</w:t>
      </w:r>
      <w:r w:rsidR="004D580D" w:rsidRPr="00D91677">
        <w:rPr>
          <w:rFonts w:cstheme="minorHAnsi"/>
          <w:sz w:val="20"/>
          <w:szCs w:val="20"/>
          <w:lang w:val="en-GB"/>
        </w:rPr>
        <w:t>@nencki.edu.pl</w:t>
      </w:r>
    </w:p>
    <w:p w14:paraId="349AB256" w14:textId="72F9C418"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E67639">
        <w:rPr>
          <w:rFonts w:cstheme="minorHAnsi"/>
          <w:b/>
          <w:bCs/>
          <w:sz w:val="20"/>
          <w:szCs w:val="20"/>
          <w:lang w:val="en-GB"/>
        </w:rPr>
        <w:t>13</w:t>
      </w:r>
      <w:r w:rsidR="002D7E1D">
        <w:rPr>
          <w:rFonts w:cstheme="minorHAnsi"/>
          <w:b/>
          <w:bCs/>
          <w:sz w:val="20"/>
          <w:szCs w:val="20"/>
          <w:lang w:val="en-GB"/>
        </w:rPr>
        <w:t xml:space="preserve"> November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D91677" w:rsidRDefault="00EC5496" w:rsidP="00F4300A">
      <w:pPr>
        <w:autoSpaceDE w:val="0"/>
        <w:autoSpaceDN w:val="0"/>
        <w:adjustRightInd w:val="0"/>
        <w:spacing w:after="0" w:line="240" w:lineRule="auto"/>
        <w:jc w:val="both"/>
        <w:rPr>
          <w:rFonts w:cstheme="minorHAnsi"/>
          <w:b/>
          <w:bCs/>
          <w:sz w:val="20"/>
          <w:szCs w:val="20"/>
          <w:lang w:val="en-GB"/>
        </w:rPr>
      </w:pPr>
    </w:p>
    <w:p w14:paraId="3DEE9BDC" w14:textId="3337660F" w:rsidR="002D7E1D" w:rsidRPr="002D7E1D" w:rsidRDefault="00F4300A" w:rsidP="002D7E1D">
      <w:pPr>
        <w:jc w:val="both"/>
        <w:rPr>
          <w:rFonts w:cstheme="minorHAnsi"/>
          <w:bCs/>
          <w:sz w:val="20"/>
          <w:szCs w:val="20"/>
          <w:lang w:val="en-GB"/>
        </w:rPr>
      </w:pPr>
      <w:r w:rsidRPr="00D91677">
        <w:rPr>
          <w:rFonts w:cstheme="minorHAnsi"/>
          <w:sz w:val="20"/>
          <w:szCs w:val="20"/>
          <w:lang w:val="en-GB"/>
        </w:rPr>
        <w:t xml:space="preserve">The subject matter of the </w:t>
      </w:r>
      <w:r w:rsidRPr="00FF7CF6">
        <w:rPr>
          <w:rFonts w:cstheme="minorHAnsi"/>
          <w:sz w:val="20"/>
          <w:szCs w:val="20"/>
          <w:lang w:val="en-GB"/>
        </w:rPr>
        <w:t>contract is</w:t>
      </w:r>
      <w:r w:rsidR="00700083" w:rsidRPr="00FF7CF6">
        <w:rPr>
          <w:rFonts w:cstheme="minorHAnsi"/>
          <w:sz w:val="20"/>
          <w:szCs w:val="20"/>
          <w:lang w:val="en-GB"/>
        </w:rPr>
        <w:t>:</w:t>
      </w:r>
      <w:r w:rsidR="002F7841" w:rsidRPr="00FF7CF6">
        <w:rPr>
          <w:rFonts w:cstheme="minorHAnsi"/>
          <w:sz w:val="20"/>
          <w:szCs w:val="20"/>
          <w:lang w:val="en-GB"/>
        </w:rPr>
        <w:t xml:space="preserve"> </w:t>
      </w:r>
      <w:r w:rsidR="002D7E1D" w:rsidRPr="002D7E1D">
        <w:rPr>
          <w:rFonts w:cstheme="minorHAnsi"/>
          <w:bCs/>
          <w:sz w:val="20"/>
          <w:szCs w:val="20"/>
          <w:u w:val="single"/>
          <w:lang w:val="en-GB"/>
        </w:rPr>
        <w:t>sample preprocessing service that includes organization, separation and documentation of samples collected as part of the collaboration between TREND LAB (Poland) and the University Clinical Center, Tuzla and Plava Polyclinic (Bosnia&amp;Herzegovina)</w:t>
      </w:r>
      <w:r w:rsidR="002D7E1D">
        <w:rPr>
          <w:rFonts w:cstheme="minorHAnsi"/>
          <w:bCs/>
          <w:sz w:val="20"/>
          <w:szCs w:val="20"/>
          <w:u w:val="single"/>
          <w:lang w:val="en-GB"/>
        </w:rPr>
        <w:t>.</w:t>
      </w:r>
      <w:r w:rsidR="002D7E1D" w:rsidRPr="002D7E1D">
        <w:rPr>
          <w:rFonts w:cstheme="minorHAnsi"/>
          <w:bCs/>
          <w:sz w:val="20"/>
          <w:szCs w:val="20"/>
          <w:lang w:val="en-GB"/>
        </w:rPr>
        <w:t xml:space="preserve"> </w:t>
      </w:r>
    </w:p>
    <w:p w14:paraId="63567C38" w14:textId="58F168B7" w:rsidR="002D7E1D" w:rsidRDefault="002D7E1D" w:rsidP="002D7E1D">
      <w:pPr>
        <w:jc w:val="both"/>
        <w:rPr>
          <w:sz w:val="20"/>
          <w:szCs w:val="20"/>
          <w:lang w:val="en-US"/>
        </w:rPr>
      </w:pPr>
      <w:r w:rsidRPr="002D7E1D">
        <w:rPr>
          <w:sz w:val="20"/>
          <w:szCs w:val="20"/>
          <w:lang w:val="en-US"/>
        </w:rPr>
        <w:t xml:space="preserve">A comprehensive sample preprocessing service is requested by TREND Lab at the Nencki Institute of Experimental Biology, Warsaw, Poland (from here on referred as </w:t>
      </w:r>
      <w:r w:rsidRPr="00DA0104">
        <w:rPr>
          <w:sz w:val="20"/>
          <w:szCs w:val="20"/>
          <w:lang w:val="en-US"/>
        </w:rPr>
        <w:t xml:space="preserve">the </w:t>
      </w:r>
      <w:r w:rsidR="00DA0104" w:rsidRPr="00DA0104">
        <w:rPr>
          <w:sz w:val="20"/>
          <w:szCs w:val="20"/>
          <w:lang w:val="en-US"/>
        </w:rPr>
        <w:t>(</w:t>
      </w:r>
      <w:r w:rsidR="00DA0104">
        <w:rPr>
          <w:sz w:val="20"/>
          <w:szCs w:val="20"/>
          <w:lang w:val="en-US"/>
        </w:rPr>
        <w:t>“</w:t>
      </w:r>
      <w:r w:rsidR="00DA0104" w:rsidRPr="00DA0104">
        <w:rPr>
          <w:sz w:val="20"/>
          <w:szCs w:val="20"/>
          <w:lang w:val="en-US"/>
        </w:rPr>
        <w:t>The Ordering Party”)</w:t>
      </w:r>
      <w:r w:rsidRPr="002D7E1D">
        <w:rPr>
          <w:sz w:val="20"/>
          <w:szCs w:val="20"/>
          <w:lang w:val="en-US"/>
        </w:rPr>
        <w:t xml:space="preserve"> that will involve organization and quality check of biological samples collected from the residents of Bosnia &amp; Herzegovina. </w:t>
      </w:r>
    </w:p>
    <w:p w14:paraId="0D067A10" w14:textId="77777777" w:rsidR="002D7E1D" w:rsidRDefault="002D7E1D" w:rsidP="002D7E1D">
      <w:pPr>
        <w:spacing w:after="0" w:line="240" w:lineRule="auto"/>
        <w:jc w:val="both"/>
        <w:rPr>
          <w:sz w:val="20"/>
          <w:szCs w:val="20"/>
          <w:lang w:val="en-US"/>
        </w:rPr>
      </w:pPr>
      <w:r w:rsidRPr="002D7E1D">
        <w:rPr>
          <w:sz w:val="20"/>
          <w:szCs w:val="20"/>
          <w:lang w:val="en-US"/>
        </w:rPr>
        <w:t>The samples are collected from two groups</w:t>
      </w:r>
      <w:r>
        <w:rPr>
          <w:sz w:val="20"/>
          <w:szCs w:val="20"/>
          <w:lang w:val="en-US"/>
        </w:rPr>
        <w:t>:</w:t>
      </w:r>
      <w:r w:rsidRPr="002D7E1D">
        <w:rPr>
          <w:sz w:val="20"/>
          <w:szCs w:val="20"/>
          <w:lang w:val="en-US"/>
        </w:rPr>
        <w:t xml:space="preserve"> </w:t>
      </w:r>
    </w:p>
    <w:p w14:paraId="3574A76D" w14:textId="77777777" w:rsidR="002D7E1D" w:rsidRDefault="002D7E1D" w:rsidP="00D31AD4">
      <w:pPr>
        <w:spacing w:after="0" w:line="240" w:lineRule="auto"/>
        <w:ind w:left="142" w:hanging="142"/>
        <w:jc w:val="both"/>
        <w:rPr>
          <w:sz w:val="20"/>
          <w:szCs w:val="20"/>
          <w:lang w:val="en-US"/>
        </w:rPr>
      </w:pPr>
      <w:r w:rsidRPr="002D7E1D">
        <w:rPr>
          <w:sz w:val="20"/>
          <w:szCs w:val="20"/>
          <w:lang w:val="en-US"/>
        </w:rPr>
        <w:t xml:space="preserve">a) families (both parents and at least one child) among which at least one of the parents was directly exposed to severe childhood trauma caused by the genocide in Srebrenica in 1995, </w:t>
      </w:r>
    </w:p>
    <w:p w14:paraId="64D23F44" w14:textId="2B60CFC4" w:rsidR="002D7E1D" w:rsidRDefault="002D7E1D" w:rsidP="00D31AD4">
      <w:pPr>
        <w:ind w:left="142" w:hanging="142"/>
        <w:jc w:val="both"/>
        <w:rPr>
          <w:sz w:val="20"/>
          <w:szCs w:val="20"/>
          <w:lang w:val="en-US"/>
        </w:rPr>
      </w:pPr>
      <w:r w:rsidRPr="002D7E1D">
        <w:rPr>
          <w:sz w:val="20"/>
          <w:szCs w:val="20"/>
          <w:lang w:val="en-US"/>
        </w:rPr>
        <w:t xml:space="preserve">b) a control group of families (both parents and at least one child) that were not exposed to the trauma caused by the Srebrenica genocide and/or any other form of severe childhood trauma. The samples are currently stored at University Clinical Center, Tuzla under the supervision of Prof. Nijaz Tihic. </w:t>
      </w:r>
    </w:p>
    <w:p w14:paraId="08937524" w14:textId="7DC003A5" w:rsidR="00AC74D0" w:rsidRPr="00AC74D0" w:rsidRDefault="00AC74D0" w:rsidP="00AC74D0">
      <w:pPr>
        <w:jc w:val="both"/>
        <w:rPr>
          <w:bCs/>
          <w:sz w:val="20"/>
          <w:szCs w:val="20"/>
          <w:u w:val="single"/>
          <w:lang w:val="en-US"/>
        </w:rPr>
      </w:pPr>
      <w:r w:rsidRPr="00AC74D0">
        <w:rPr>
          <w:bCs/>
          <w:sz w:val="20"/>
          <w:szCs w:val="20"/>
          <w:u w:val="single"/>
          <w:lang w:val="en-US"/>
        </w:rPr>
        <w:t>The Contractor undertakes to:</w:t>
      </w:r>
    </w:p>
    <w:p w14:paraId="62FE54E6" w14:textId="4C1CD13A" w:rsidR="00AC74D0" w:rsidRPr="00AC74D0" w:rsidRDefault="00AC74D0" w:rsidP="00AC74D0">
      <w:pPr>
        <w:pStyle w:val="Akapitzlist"/>
        <w:numPr>
          <w:ilvl w:val="0"/>
          <w:numId w:val="32"/>
        </w:numPr>
        <w:spacing w:after="0" w:line="240" w:lineRule="auto"/>
        <w:ind w:left="284" w:hanging="284"/>
        <w:jc w:val="both"/>
        <w:rPr>
          <w:sz w:val="20"/>
          <w:szCs w:val="20"/>
          <w:lang w:val="en-US"/>
        </w:rPr>
      </w:pPr>
      <w:r w:rsidRPr="00AC74D0">
        <w:rPr>
          <w:bCs/>
          <w:sz w:val="20"/>
          <w:szCs w:val="20"/>
          <w:lang w:val="en-US"/>
        </w:rPr>
        <w:t>Organization and quality check of samples</w:t>
      </w:r>
      <w:r w:rsidRPr="00AC74D0">
        <w:rPr>
          <w:b/>
          <w:sz w:val="20"/>
          <w:szCs w:val="20"/>
          <w:lang w:val="en-US"/>
        </w:rPr>
        <w:t xml:space="preserve"> </w:t>
      </w:r>
      <w:r w:rsidRPr="00AC74D0">
        <w:rPr>
          <w:sz w:val="20"/>
          <w:szCs w:val="20"/>
          <w:lang w:val="en-US"/>
        </w:rPr>
        <w:t>(100% of the total contract amount)</w:t>
      </w:r>
    </w:p>
    <w:p w14:paraId="520BD8D7" w14:textId="246181F3" w:rsidR="00AC74D0" w:rsidRPr="00AC74D0" w:rsidRDefault="00AC74D0" w:rsidP="00AC74D0">
      <w:pPr>
        <w:pStyle w:val="Akapitzlist"/>
        <w:numPr>
          <w:ilvl w:val="0"/>
          <w:numId w:val="32"/>
        </w:numPr>
        <w:spacing w:after="0" w:line="240" w:lineRule="auto"/>
        <w:ind w:left="284" w:hanging="284"/>
        <w:jc w:val="both"/>
        <w:rPr>
          <w:sz w:val="20"/>
          <w:szCs w:val="20"/>
          <w:lang w:val="en-US"/>
        </w:rPr>
      </w:pPr>
      <w:r w:rsidRPr="00AC74D0">
        <w:rPr>
          <w:sz w:val="20"/>
          <w:szCs w:val="20"/>
          <w:lang w:val="en-US"/>
        </w:rPr>
        <w:t>Provide to the Ordering Party a report that must contain:</w:t>
      </w:r>
    </w:p>
    <w:p w14:paraId="2B8A8F6A" w14:textId="77777777" w:rsidR="00AC74D0" w:rsidRPr="00AC74D0" w:rsidRDefault="00AC74D0" w:rsidP="00AC74D0">
      <w:pPr>
        <w:pStyle w:val="Akapitzlist"/>
        <w:numPr>
          <w:ilvl w:val="0"/>
          <w:numId w:val="33"/>
        </w:numPr>
        <w:spacing w:after="0" w:line="240" w:lineRule="auto"/>
        <w:jc w:val="both"/>
        <w:rPr>
          <w:sz w:val="20"/>
          <w:szCs w:val="20"/>
          <w:lang w:val="en-US"/>
        </w:rPr>
      </w:pPr>
      <w:r w:rsidRPr="00AC74D0">
        <w:rPr>
          <w:sz w:val="20"/>
          <w:szCs w:val="20"/>
          <w:lang w:val="en-US"/>
        </w:rPr>
        <w:t xml:space="preserve">The list of all available samples that have been properly preprocessed, i.e., seminal fluid separated from sperm pellet AND serum tubes without any contamination from blood cell debris. </w:t>
      </w:r>
    </w:p>
    <w:p w14:paraId="7DACB124" w14:textId="77777777" w:rsidR="00AC74D0" w:rsidRPr="00AC74D0" w:rsidRDefault="00AC74D0" w:rsidP="00AC74D0">
      <w:pPr>
        <w:pStyle w:val="Akapitzlist"/>
        <w:numPr>
          <w:ilvl w:val="0"/>
          <w:numId w:val="33"/>
        </w:numPr>
        <w:spacing w:after="0" w:line="240" w:lineRule="auto"/>
        <w:jc w:val="both"/>
        <w:rPr>
          <w:sz w:val="20"/>
          <w:szCs w:val="20"/>
          <w:lang w:val="en-US"/>
        </w:rPr>
      </w:pPr>
      <w:r w:rsidRPr="00AC74D0">
        <w:rPr>
          <w:sz w:val="20"/>
          <w:szCs w:val="20"/>
          <w:lang w:val="en-US"/>
        </w:rPr>
        <w:t xml:space="preserve">Quality control of samples, i.e., check that all biological samples have been maintained at proper cooling and storage conditions, are labelled in anonymized codes, and are in containers that can be safely dispatched for further molecular analysis at the TREND lab. </w:t>
      </w:r>
    </w:p>
    <w:p w14:paraId="66DFDC47" w14:textId="4BEB09FC" w:rsidR="00AC74D0" w:rsidRDefault="00AC74D0" w:rsidP="00AC74D0">
      <w:pPr>
        <w:pStyle w:val="Akapitzlist"/>
        <w:numPr>
          <w:ilvl w:val="0"/>
          <w:numId w:val="32"/>
        </w:numPr>
        <w:ind w:left="284" w:hanging="284"/>
        <w:jc w:val="both"/>
        <w:rPr>
          <w:sz w:val="20"/>
          <w:szCs w:val="20"/>
          <w:lang w:val="en-US"/>
        </w:rPr>
      </w:pPr>
      <w:r>
        <w:rPr>
          <w:sz w:val="20"/>
          <w:szCs w:val="20"/>
          <w:lang w:val="en-US"/>
        </w:rPr>
        <w:t>I</w:t>
      </w:r>
      <w:r w:rsidRPr="00AC74D0">
        <w:rPr>
          <w:sz w:val="20"/>
          <w:szCs w:val="20"/>
          <w:lang w:val="en-US"/>
        </w:rPr>
        <w:t>ssu</w:t>
      </w:r>
      <w:r>
        <w:rPr>
          <w:sz w:val="20"/>
          <w:szCs w:val="20"/>
          <w:lang w:val="en-US"/>
        </w:rPr>
        <w:t xml:space="preserve">ing an </w:t>
      </w:r>
      <w:r w:rsidRPr="00AC74D0">
        <w:rPr>
          <w:sz w:val="20"/>
          <w:szCs w:val="20"/>
          <w:lang w:val="en-US"/>
        </w:rPr>
        <w:t xml:space="preserve">invoice by the Contractor after approval of </w:t>
      </w:r>
      <w:r>
        <w:rPr>
          <w:sz w:val="20"/>
          <w:szCs w:val="20"/>
          <w:lang w:val="en-US"/>
        </w:rPr>
        <w:t>this</w:t>
      </w:r>
      <w:r w:rsidRPr="00AC74D0">
        <w:rPr>
          <w:sz w:val="20"/>
          <w:szCs w:val="20"/>
          <w:lang w:val="en-US"/>
        </w:rPr>
        <w:t xml:space="preserve"> report by the Ordering Party</w:t>
      </w:r>
      <w:r>
        <w:rPr>
          <w:sz w:val="20"/>
          <w:szCs w:val="20"/>
          <w:lang w:val="en-US"/>
        </w:rPr>
        <w:t>.</w:t>
      </w:r>
    </w:p>
    <w:p w14:paraId="12EAE563" w14:textId="11B37167" w:rsidR="00E861F7" w:rsidRDefault="00E861F7" w:rsidP="00E861F7">
      <w:pPr>
        <w:jc w:val="both"/>
        <w:rPr>
          <w:sz w:val="20"/>
          <w:szCs w:val="20"/>
          <w:lang w:val="en-US"/>
        </w:rPr>
      </w:pPr>
      <w:r w:rsidRPr="00E861F7">
        <w:rPr>
          <w:b/>
          <w:bCs/>
          <w:sz w:val="20"/>
          <w:szCs w:val="20"/>
          <w:lang w:val="en-US"/>
        </w:rPr>
        <w:t>Order completion date:</w:t>
      </w:r>
      <w:r w:rsidRPr="00E861F7">
        <w:rPr>
          <w:sz w:val="20"/>
          <w:szCs w:val="20"/>
          <w:lang w:val="en-US"/>
        </w:rPr>
        <w:t xml:space="preserve"> max. up to 14 days from the date of conclusion of the contract</w:t>
      </w:r>
      <w:r>
        <w:rPr>
          <w:sz w:val="20"/>
          <w:szCs w:val="20"/>
          <w:lang w:val="en-US"/>
        </w:rPr>
        <w:t>.</w:t>
      </w:r>
    </w:p>
    <w:p w14:paraId="2C124998" w14:textId="77777777" w:rsidR="00E861F7" w:rsidRPr="00E861F7" w:rsidRDefault="00E861F7" w:rsidP="00E861F7">
      <w:pPr>
        <w:jc w:val="both"/>
        <w:rPr>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lastRenderedPageBreak/>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77777777" w:rsidR="00012FAC" w:rsidRPr="00D91677" w:rsidRDefault="00F4300A" w:rsidP="00012FAC">
      <w:pPr>
        <w:autoSpaceDE w:val="0"/>
        <w:autoSpaceDN w:val="0"/>
        <w:adjustRightInd w:val="0"/>
        <w:jc w:val="both"/>
        <w:rPr>
          <w:rFonts w:ascii="Calibri" w:hAnsi="Calibri" w:cstheme="minorHAnsi"/>
          <w:b/>
          <w:bCs/>
          <w:color w:val="FF0000"/>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2482A5C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23420E94" w14:textId="3D9E1D90" w:rsidR="00C90D88" w:rsidRDefault="00F4300A" w:rsidP="00AC713E">
      <w:pPr>
        <w:pStyle w:val="Akapitzlist"/>
        <w:numPr>
          <w:ilvl w:val="0"/>
          <w:numId w:val="31"/>
        </w:numPr>
        <w:autoSpaceDE w:val="0"/>
        <w:autoSpaceDN w:val="0"/>
        <w:adjustRightInd w:val="0"/>
        <w:spacing w:after="0" w:line="240" w:lineRule="auto"/>
        <w:ind w:left="425" w:right="-45" w:hanging="425"/>
        <w:jc w:val="both"/>
        <w:rPr>
          <w:rFonts w:cstheme="minorHAnsi"/>
          <w:color w:val="000000"/>
          <w:sz w:val="20"/>
          <w:szCs w:val="20"/>
          <w:lang w:val="en-GB"/>
        </w:rPr>
      </w:pPr>
      <w:r w:rsidRPr="004C2097">
        <w:rPr>
          <w:rFonts w:cstheme="minorHAnsi"/>
          <w:color w:val="000000"/>
          <w:sz w:val="20"/>
          <w:szCs w:val="20"/>
          <w:lang w:val="en-GB"/>
        </w:rPr>
        <w:t xml:space="preserve">Bids must be </w:t>
      </w:r>
      <w:r w:rsidR="00C90D88">
        <w:rPr>
          <w:rFonts w:cstheme="minorHAnsi"/>
          <w:color w:val="000000"/>
          <w:sz w:val="20"/>
          <w:szCs w:val="20"/>
          <w:lang w:val="en-GB"/>
        </w:rPr>
        <w:t>sent electronically in the form of:</w:t>
      </w:r>
    </w:p>
    <w:p w14:paraId="3DC7176C" w14:textId="77777777" w:rsidR="00C90D88" w:rsidRPr="00C90D88" w:rsidRDefault="00C90D88" w:rsidP="00AC713E">
      <w:pPr>
        <w:pStyle w:val="NormalnyWeb"/>
        <w:shd w:val="clear" w:color="auto" w:fill="FFFFFF"/>
        <w:spacing w:before="0" w:beforeAutospacing="0" w:after="0" w:afterAutospacing="0"/>
        <w:ind w:left="426"/>
        <w:jc w:val="both"/>
        <w:rPr>
          <w:rFonts w:asciiTheme="minorHAnsi" w:hAnsiTheme="minorHAnsi" w:cs="Arial"/>
          <w:color w:val="222222"/>
          <w:sz w:val="20"/>
          <w:szCs w:val="20"/>
          <w:lang w:val="en-GB"/>
        </w:rPr>
      </w:pPr>
      <w:r w:rsidRPr="00C90D88">
        <w:rPr>
          <w:rFonts w:asciiTheme="minorHAnsi" w:hAnsiTheme="minorHAnsi" w:cs="Arial"/>
          <w:color w:val="222222"/>
          <w:sz w:val="20"/>
          <w:szCs w:val="20"/>
          <w:lang w:val="en-GB"/>
        </w:rPr>
        <w:t>- a scanned original bid signed by a person authorized to represent the contractor or</w:t>
      </w:r>
    </w:p>
    <w:p w14:paraId="19DA63B4" w14:textId="073E556A" w:rsidR="00C90D88" w:rsidRPr="00C90D88" w:rsidRDefault="00C90D88" w:rsidP="00AC713E">
      <w:pPr>
        <w:pStyle w:val="NormalnyWeb"/>
        <w:shd w:val="clear" w:color="auto" w:fill="FFFFFF"/>
        <w:spacing w:before="0" w:beforeAutospacing="0" w:after="0" w:afterAutospacing="0"/>
        <w:ind w:left="426"/>
        <w:jc w:val="both"/>
        <w:rPr>
          <w:rFonts w:asciiTheme="minorHAnsi" w:hAnsiTheme="minorHAnsi" w:cs="Arial"/>
          <w:color w:val="222222"/>
          <w:sz w:val="20"/>
          <w:szCs w:val="20"/>
          <w:lang w:val="en-GB"/>
        </w:rPr>
      </w:pPr>
      <w:r w:rsidRPr="00C90D88">
        <w:rPr>
          <w:rFonts w:asciiTheme="minorHAnsi" w:hAnsiTheme="minorHAnsi" w:cs="Arial"/>
          <w:color w:val="222222"/>
          <w:sz w:val="20"/>
          <w:szCs w:val="20"/>
          <w:lang w:val="en-GB"/>
        </w:rPr>
        <w:t>- a bid signed with a trusted signature by a person authorized to represent the contractor or</w:t>
      </w:r>
    </w:p>
    <w:p w14:paraId="6A2F9F38" w14:textId="77777777" w:rsidR="00C90D88" w:rsidRPr="00C90D88" w:rsidRDefault="00C90D88" w:rsidP="00AC713E">
      <w:pPr>
        <w:pStyle w:val="NormalnyWeb"/>
        <w:shd w:val="clear" w:color="auto" w:fill="FFFFFF"/>
        <w:spacing w:before="0" w:beforeAutospacing="0" w:after="0" w:afterAutospacing="0"/>
        <w:ind w:left="426"/>
        <w:jc w:val="both"/>
        <w:rPr>
          <w:rFonts w:asciiTheme="minorHAnsi" w:hAnsiTheme="minorHAnsi" w:cs="Arial"/>
          <w:color w:val="222222"/>
          <w:sz w:val="20"/>
          <w:szCs w:val="20"/>
          <w:lang w:val="en-GB"/>
        </w:rPr>
      </w:pPr>
      <w:r w:rsidRPr="00C90D88">
        <w:rPr>
          <w:rFonts w:asciiTheme="minorHAnsi" w:hAnsiTheme="minorHAnsi" w:cs="Arial"/>
          <w:color w:val="222222"/>
          <w:sz w:val="20"/>
          <w:szCs w:val="20"/>
          <w:lang w:val="en-GB"/>
        </w:rPr>
        <w:t xml:space="preserve">- a bid signed with a qualified signature by a person authorized to represent the contractor. </w:t>
      </w:r>
    </w:p>
    <w:p w14:paraId="5C877830" w14:textId="614F296E" w:rsidR="00C90D88" w:rsidRPr="00C90D88" w:rsidRDefault="00AC713E" w:rsidP="00AC713E">
      <w:pPr>
        <w:autoSpaceDE w:val="0"/>
        <w:autoSpaceDN w:val="0"/>
        <w:adjustRightInd w:val="0"/>
        <w:spacing w:after="0" w:line="240" w:lineRule="auto"/>
        <w:ind w:left="426" w:right="-46"/>
        <w:jc w:val="both"/>
        <w:rPr>
          <w:rFonts w:cstheme="minorHAnsi"/>
          <w:color w:val="000000"/>
          <w:sz w:val="20"/>
          <w:szCs w:val="20"/>
          <w:lang w:val="en-GB"/>
        </w:rPr>
      </w:pPr>
      <w:r w:rsidRPr="00AC713E">
        <w:rPr>
          <w:rFonts w:cstheme="minorHAnsi"/>
          <w:color w:val="000000"/>
          <w:sz w:val="20"/>
          <w:szCs w:val="20"/>
          <w:lang w:val="en-GB"/>
        </w:rPr>
        <w:t xml:space="preserve">Bids in the above-mentioned form should be sent by e-mail to: </w:t>
      </w:r>
      <w:hyperlink r:id="rId8" w:history="1">
        <w:r w:rsidRPr="005754B3">
          <w:rPr>
            <w:rStyle w:val="Hipercze"/>
            <w:rFonts w:cstheme="minorHAnsi"/>
            <w:sz w:val="20"/>
            <w:szCs w:val="20"/>
            <w:lang w:val="en-GB"/>
          </w:rPr>
          <w:t>p.rojek@nencki.edu.pl</w:t>
        </w:r>
      </w:hyperlink>
      <w:r>
        <w:rPr>
          <w:rFonts w:cstheme="minorHAnsi"/>
          <w:color w:val="000000"/>
          <w:sz w:val="20"/>
          <w:szCs w:val="20"/>
          <w:lang w:val="en-GB"/>
        </w:rPr>
        <w:t xml:space="preserve"> </w:t>
      </w:r>
    </w:p>
    <w:p w14:paraId="53F6366C" w14:textId="60E4116C" w:rsidR="00AC713E" w:rsidRPr="00AC713E"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Please mark your bid by adding in the subject line of your email:</w:t>
      </w:r>
      <w:r w:rsidR="00AC713E">
        <w:rPr>
          <w:rFonts w:cstheme="minorHAnsi"/>
          <w:color w:val="000000"/>
          <w:sz w:val="20"/>
          <w:szCs w:val="20"/>
          <w:lang w:val="en-GB"/>
        </w:rPr>
        <w:t xml:space="preserve"> </w:t>
      </w:r>
      <w:r w:rsidR="00AC713E">
        <w:rPr>
          <w:rFonts w:cstheme="minorHAnsi"/>
          <w:b/>
          <w:bCs/>
          <w:color w:val="000000"/>
          <w:sz w:val="20"/>
          <w:szCs w:val="20"/>
          <w:lang w:val="en-GB"/>
        </w:rPr>
        <w:t>S</w:t>
      </w:r>
      <w:r w:rsidR="00AC713E" w:rsidRPr="00AC713E">
        <w:rPr>
          <w:rFonts w:cstheme="minorHAnsi"/>
          <w:b/>
          <w:bCs/>
          <w:color w:val="000000"/>
          <w:sz w:val="20"/>
          <w:szCs w:val="20"/>
          <w:lang w:val="en-GB"/>
        </w:rPr>
        <w:t>ample preprocessing service</w:t>
      </w:r>
      <w:r w:rsidR="00AC713E">
        <w:rPr>
          <w:rFonts w:cstheme="minorHAnsi"/>
          <w:color w:val="000000"/>
          <w:sz w:val="20"/>
          <w:szCs w:val="20"/>
          <w:lang w:val="en-GB"/>
        </w:rPr>
        <w:t>.</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2ECCA9F5" w:rsidR="00F4300A" w:rsidRPr="00C90D88"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7CA0DE16" w14:textId="4274FA23" w:rsidR="00C90D88" w:rsidRDefault="00C90D88" w:rsidP="00C90D88">
      <w:pPr>
        <w:pStyle w:val="NormalnyWeb"/>
        <w:shd w:val="clear" w:color="auto" w:fill="FFFFFF"/>
        <w:spacing w:before="0" w:beforeAutospacing="0" w:after="0" w:afterAutospacing="0"/>
        <w:jc w:val="both"/>
        <w:rPr>
          <w:rFonts w:asciiTheme="minorHAnsi" w:hAnsiTheme="minorHAnsi" w:cs="Arial"/>
          <w:iCs/>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68512819"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lastRenderedPageBreak/>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AC713E">
        <w:rPr>
          <w:rFonts w:cstheme="minorHAnsi"/>
          <w:sz w:val="20"/>
          <w:szCs w:val="20"/>
          <w:lang w:val="en-GB"/>
        </w:rPr>
        <w:t xml:space="preserve">14 days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43860524" w14:textId="77777777" w:rsidR="008F38A3" w:rsidRPr="008F38A3" w:rsidRDefault="008F38A3" w:rsidP="008F38A3">
      <w:pPr>
        <w:pStyle w:val="Akapitzlist"/>
        <w:spacing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07801E88" w14:textId="77777777" w:rsidR="008F38A3" w:rsidRPr="00D91677" w:rsidRDefault="008F38A3" w:rsidP="008F38A3">
      <w:pPr>
        <w:autoSpaceDE w:val="0"/>
        <w:autoSpaceDN w:val="0"/>
        <w:adjustRightInd w:val="0"/>
        <w:spacing w:after="0" w:line="240" w:lineRule="auto"/>
        <w:ind w:left="426" w:right="-46"/>
        <w:jc w:val="both"/>
        <w:rPr>
          <w:rFonts w:cstheme="minorHAnsi"/>
          <w:b/>
          <w:sz w:val="20"/>
          <w:szCs w:val="20"/>
          <w:lang w:val="en-GB"/>
        </w:rPr>
      </w:pPr>
    </w:p>
    <w:p w14:paraId="592002D3" w14:textId="77777777" w:rsidR="00F4300A" w:rsidRDefault="00F4300A" w:rsidP="00F4300A">
      <w:pPr>
        <w:pStyle w:val="Tekstwstpniesformatowany"/>
        <w:ind w:left="850"/>
        <w:jc w:val="both"/>
        <w:rPr>
          <w:rFonts w:ascii="Calibri" w:hAnsi="Calibri"/>
          <w:sz w:val="20"/>
          <w:szCs w:val="20"/>
          <w:lang w:val="en-GB"/>
        </w:rPr>
      </w:pPr>
    </w:p>
    <w:p w14:paraId="3C193411" w14:textId="77777777" w:rsidR="00184069" w:rsidRDefault="00184069" w:rsidP="00F4300A">
      <w:pPr>
        <w:pStyle w:val="Tekstwstpniesformatowany"/>
        <w:ind w:left="850"/>
        <w:jc w:val="both"/>
        <w:rPr>
          <w:rFonts w:ascii="Calibri" w:hAnsi="Calibri"/>
          <w:sz w:val="20"/>
          <w:szCs w:val="20"/>
          <w:lang w:val="en-GB"/>
        </w:rPr>
      </w:pPr>
    </w:p>
    <w:p w14:paraId="2DEF3ABB" w14:textId="77777777" w:rsidR="00184069" w:rsidRDefault="00184069" w:rsidP="00F4300A">
      <w:pPr>
        <w:pStyle w:val="Tekstwstpniesformatowany"/>
        <w:ind w:left="850"/>
        <w:jc w:val="both"/>
        <w:rPr>
          <w:rFonts w:ascii="Calibri" w:hAnsi="Calibri"/>
          <w:sz w:val="20"/>
          <w:szCs w:val="20"/>
          <w:lang w:val="en-GB"/>
        </w:rPr>
      </w:pPr>
    </w:p>
    <w:p w14:paraId="4DACE782" w14:textId="77777777" w:rsidR="00184069" w:rsidRDefault="00184069" w:rsidP="00F4300A">
      <w:pPr>
        <w:pStyle w:val="Tekstwstpniesformatowany"/>
        <w:ind w:left="850"/>
        <w:jc w:val="both"/>
        <w:rPr>
          <w:rFonts w:ascii="Calibri" w:hAnsi="Calibri"/>
          <w:sz w:val="20"/>
          <w:szCs w:val="20"/>
          <w:lang w:val="en-GB"/>
        </w:rPr>
      </w:pPr>
    </w:p>
    <w:p w14:paraId="7D3A3C51" w14:textId="77777777" w:rsidR="00184069" w:rsidRDefault="00184069" w:rsidP="00F4300A">
      <w:pPr>
        <w:pStyle w:val="Tekstwstpniesformatowany"/>
        <w:ind w:left="850"/>
        <w:jc w:val="both"/>
        <w:rPr>
          <w:rFonts w:ascii="Calibri" w:hAnsi="Calibri"/>
          <w:sz w:val="20"/>
          <w:szCs w:val="20"/>
          <w:lang w:val="en-GB"/>
        </w:rPr>
      </w:pPr>
    </w:p>
    <w:p w14:paraId="3E28E450" w14:textId="77777777" w:rsidR="00184069" w:rsidRDefault="00184069" w:rsidP="00F4300A">
      <w:pPr>
        <w:pStyle w:val="Tekstwstpniesformatowany"/>
        <w:ind w:left="850"/>
        <w:jc w:val="both"/>
        <w:rPr>
          <w:rFonts w:ascii="Calibri" w:hAnsi="Calibri"/>
          <w:sz w:val="20"/>
          <w:szCs w:val="20"/>
          <w:lang w:val="en-GB"/>
        </w:rPr>
      </w:pPr>
    </w:p>
    <w:p w14:paraId="41CBB8B0" w14:textId="77777777" w:rsidR="00184069" w:rsidRDefault="00184069" w:rsidP="00F4300A">
      <w:pPr>
        <w:pStyle w:val="Tekstwstpniesformatowany"/>
        <w:ind w:left="850"/>
        <w:jc w:val="both"/>
        <w:rPr>
          <w:rFonts w:ascii="Calibri" w:hAnsi="Calibri"/>
          <w:sz w:val="20"/>
          <w:szCs w:val="20"/>
          <w:lang w:val="en-GB"/>
        </w:rPr>
      </w:pPr>
    </w:p>
    <w:p w14:paraId="3F7919CB" w14:textId="77777777" w:rsidR="00184069" w:rsidRDefault="00184069" w:rsidP="00F4300A">
      <w:pPr>
        <w:pStyle w:val="Tekstwstpniesformatowany"/>
        <w:ind w:left="850"/>
        <w:jc w:val="both"/>
        <w:rPr>
          <w:rFonts w:ascii="Calibri" w:hAnsi="Calibri"/>
          <w:sz w:val="20"/>
          <w:szCs w:val="20"/>
          <w:lang w:val="en-GB"/>
        </w:rPr>
      </w:pPr>
    </w:p>
    <w:p w14:paraId="23DF6321" w14:textId="77777777" w:rsidR="00184069" w:rsidRDefault="00184069" w:rsidP="00F4300A">
      <w:pPr>
        <w:pStyle w:val="Tekstwstpniesformatowany"/>
        <w:ind w:left="850"/>
        <w:jc w:val="both"/>
        <w:rPr>
          <w:rFonts w:ascii="Calibri" w:hAnsi="Calibri"/>
          <w:sz w:val="20"/>
          <w:szCs w:val="20"/>
          <w:lang w:val="en-GB"/>
        </w:rPr>
      </w:pPr>
    </w:p>
    <w:p w14:paraId="4BEAAF6C" w14:textId="77777777" w:rsidR="00184069" w:rsidRDefault="00184069" w:rsidP="00F4300A">
      <w:pPr>
        <w:pStyle w:val="Tekstwstpniesformatowany"/>
        <w:ind w:left="850"/>
        <w:jc w:val="both"/>
        <w:rPr>
          <w:rFonts w:ascii="Calibri" w:hAnsi="Calibri"/>
          <w:sz w:val="20"/>
          <w:szCs w:val="20"/>
          <w:lang w:val="en-GB"/>
        </w:rPr>
      </w:pPr>
    </w:p>
    <w:p w14:paraId="05589230" w14:textId="77777777" w:rsidR="00184069" w:rsidRDefault="00184069" w:rsidP="00F4300A">
      <w:pPr>
        <w:pStyle w:val="Tekstwstpniesformatowany"/>
        <w:ind w:left="850"/>
        <w:jc w:val="both"/>
        <w:rPr>
          <w:rFonts w:ascii="Calibri" w:hAnsi="Calibri"/>
          <w:sz w:val="20"/>
          <w:szCs w:val="20"/>
          <w:lang w:val="en-GB"/>
        </w:rPr>
      </w:pPr>
    </w:p>
    <w:p w14:paraId="31ECE7A5" w14:textId="77777777" w:rsidR="00184069" w:rsidRDefault="00184069" w:rsidP="00F4300A">
      <w:pPr>
        <w:pStyle w:val="Tekstwstpniesformatowany"/>
        <w:ind w:left="850"/>
        <w:jc w:val="both"/>
        <w:rPr>
          <w:rFonts w:ascii="Calibri" w:hAnsi="Calibri"/>
          <w:sz w:val="20"/>
          <w:szCs w:val="20"/>
          <w:lang w:val="en-GB"/>
        </w:rPr>
      </w:pPr>
    </w:p>
    <w:p w14:paraId="687F8539" w14:textId="77777777" w:rsidR="00184069" w:rsidRDefault="00184069" w:rsidP="00F4300A">
      <w:pPr>
        <w:pStyle w:val="Tekstwstpniesformatowany"/>
        <w:ind w:left="850"/>
        <w:jc w:val="both"/>
        <w:rPr>
          <w:rFonts w:ascii="Calibri" w:hAnsi="Calibri"/>
          <w:sz w:val="20"/>
          <w:szCs w:val="20"/>
          <w:lang w:val="en-GB"/>
        </w:rPr>
      </w:pPr>
    </w:p>
    <w:p w14:paraId="7F26C534" w14:textId="77777777" w:rsidR="00184069" w:rsidRDefault="00184069" w:rsidP="00F4300A">
      <w:pPr>
        <w:pStyle w:val="Tekstwstpniesformatowany"/>
        <w:ind w:left="850"/>
        <w:jc w:val="both"/>
        <w:rPr>
          <w:rFonts w:ascii="Calibri" w:hAnsi="Calibri"/>
          <w:sz w:val="20"/>
          <w:szCs w:val="20"/>
          <w:lang w:val="en-GB"/>
        </w:rPr>
      </w:pPr>
    </w:p>
    <w:p w14:paraId="0D685281" w14:textId="77777777" w:rsidR="00184069" w:rsidRDefault="00184069" w:rsidP="00F4300A">
      <w:pPr>
        <w:pStyle w:val="Tekstwstpniesformatowany"/>
        <w:ind w:left="850"/>
        <w:jc w:val="both"/>
        <w:rPr>
          <w:rFonts w:ascii="Calibri" w:hAnsi="Calibri"/>
          <w:sz w:val="20"/>
          <w:szCs w:val="20"/>
          <w:lang w:val="en-GB"/>
        </w:rPr>
      </w:pPr>
    </w:p>
    <w:p w14:paraId="7631E704" w14:textId="77777777" w:rsidR="00184069" w:rsidRDefault="00184069" w:rsidP="00F4300A">
      <w:pPr>
        <w:pStyle w:val="Tekstwstpniesformatowany"/>
        <w:ind w:left="850"/>
        <w:jc w:val="both"/>
        <w:rPr>
          <w:rFonts w:ascii="Calibri" w:hAnsi="Calibri"/>
          <w:sz w:val="20"/>
          <w:szCs w:val="20"/>
          <w:lang w:val="en-GB"/>
        </w:rPr>
      </w:pPr>
    </w:p>
    <w:p w14:paraId="73788195" w14:textId="77777777" w:rsidR="00184069" w:rsidRDefault="00184069" w:rsidP="00F4300A">
      <w:pPr>
        <w:pStyle w:val="Tekstwstpniesformatowany"/>
        <w:ind w:left="850"/>
        <w:jc w:val="both"/>
        <w:rPr>
          <w:rFonts w:ascii="Calibri" w:hAnsi="Calibri"/>
          <w:sz w:val="20"/>
          <w:szCs w:val="20"/>
          <w:lang w:val="en-GB"/>
        </w:rPr>
      </w:pPr>
    </w:p>
    <w:p w14:paraId="71101827" w14:textId="77777777" w:rsidR="00184069" w:rsidRDefault="00184069" w:rsidP="00F4300A">
      <w:pPr>
        <w:pStyle w:val="Tekstwstpniesformatowany"/>
        <w:ind w:left="850"/>
        <w:jc w:val="both"/>
        <w:rPr>
          <w:rFonts w:ascii="Calibri" w:hAnsi="Calibri"/>
          <w:sz w:val="20"/>
          <w:szCs w:val="20"/>
          <w:lang w:val="en-GB"/>
        </w:rPr>
      </w:pPr>
    </w:p>
    <w:p w14:paraId="117B8715" w14:textId="77777777" w:rsidR="00184069" w:rsidRDefault="00184069" w:rsidP="00F4300A">
      <w:pPr>
        <w:pStyle w:val="Tekstwstpniesformatowany"/>
        <w:ind w:left="850"/>
        <w:jc w:val="both"/>
        <w:rPr>
          <w:rFonts w:ascii="Calibri" w:hAnsi="Calibri"/>
          <w:sz w:val="20"/>
          <w:szCs w:val="20"/>
          <w:lang w:val="en-GB"/>
        </w:rPr>
      </w:pPr>
    </w:p>
    <w:p w14:paraId="62300DFB" w14:textId="77777777" w:rsidR="00184069" w:rsidRDefault="00184069" w:rsidP="00F4300A">
      <w:pPr>
        <w:pStyle w:val="Tekstwstpniesformatowany"/>
        <w:ind w:left="850"/>
        <w:jc w:val="both"/>
        <w:rPr>
          <w:rFonts w:ascii="Calibri" w:hAnsi="Calibri"/>
          <w:sz w:val="20"/>
          <w:szCs w:val="20"/>
          <w:lang w:val="en-GB"/>
        </w:rPr>
      </w:pPr>
    </w:p>
    <w:p w14:paraId="68953DBB"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406E302F"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5E3B619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592CE21F"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29EBA671"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193394D4"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AE14D3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9" w:history="1">
        <w:r w:rsidR="00E138CF" w:rsidRPr="00B612C9">
          <w:rPr>
            <w:rStyle w:val="Hipercze"/>
            <w:rFonts w:ascii="Calibri" w:hAnsi="Calibri" w:cs="Calibri"/>
            <w:lang w:val="en-GB"/>
          </w:rPr>
          <w:t>http://www.nencki.edu.pl_</w:t>
        </w:r>
      </w:hyperlink>
    </w:p>
    <w:p w14:paraId="31AE4F7F" w14:textId="77777777"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FD104C">
      <w:headerReference w:type="default" r:id="rId10"/>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F73A" w14:textId="77777777" w:rsidR="00454AD7" w:rsidRDefault="00454AD7" w:rsidP="00CC4D50">
      <w:pPr>
        <w:spacing w:after="0" w:line="240" w:lineRule="auto"/>
      </w:pPr>
      <w:r>
        <w:separator/>
      </w:r>
    </w:p>
  </w:endnote>
  <w:endnote w:type="continuationSeparator" w:id="0">
    <w:p w14:paraId="286381BE" w14:textId="77777777" w:rsidR="00454AD7" w:rsidRDefault="00454AD7"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F6F7" w14:textId="77777777" w:rsidR="00454AD7" w:rsidRDefault="00454AD7" w:rsidP="00CC4D50">
      <w:pPr>
        <w:spacing w:after="0" w:line="240" w:lineRule="auto"/>
      </w:pPr>
      <w:r>
        <w:separator/>
      </w:r>
    </w:p>
  </w:footnote>
  <w:footnote w:type="continuationSeparator" w:id="0">
    <w:p w14:paraId="701F77CF" w14:textId="77777777" w:rsidR="00454AD7" w:rsidRDefault="00454AD7" w:rsidP="00CC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C88E" w14:textId="77777777" w:rsidR="009222BA" w:rsidRDefault="009222BA">
    <w:pPr>
      <w:pStyle w:val="Nagwek"/>
    </w:pPr>
    <w:r>
      <w:rPr>
        <w:noProof/>
        <w:lang w:eastAsia="pl-PL"/>
      </w:rPr>
      <w:drawing>
        <wp:inline distT="0" distB="0" distL="0" distR="0" wp14:anchorId="311166AC" wp14:editId="039C9860">
          <wp:extent cx="5731510" cy="832799"/>
          <wp:effectExtent l="0" t="0" r="2540" b="5715"/>
          <wp:docPr id="2" name="Obraz 2"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2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8.75pt;height:19.5pt;visibility:visible" o:bullet="t">
        <v:imagedata r:id="rId1" o:title=""/>
      </v:shape>
    </w:pict>
  </w:numPicBullet>
  <w:numPicBullet w:numPicBulletId="1">
    <w:pict>
      <v:shape id="_x0000_i1085"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B3C7D"/>
    <w:multiLevelType w:val="hybridMultilevel"/>
    <w:tmpl w:val="98E0736C"/>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69702C"/>
    <w:multiLevelType w:val="hybridMultilevel"/>
    <w:tmpl w:val="C86A05E8"/>
    <w:lvl w:ilvl="0" w:tplc="648CB0E4">
      <w:start w:val="2"/>
      <w:numFmt w:val="bullet"/>
      <w:lvlText w:val="-"/>
      <w:lvlJc w:val="left"/>
      <w:pPr>
        <w:ind w:left="786" w:hanging="360"/>
      </w:pPr>
      <w:rPr>
        <w:rFonts w:ascii="Calibri" w:eastAsia="Calibri"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4D2288"/>
    <w:multiLevelType w:val="hybridMultilevel"/>
    <w:tmpl w:val="082E1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
  </w:num>
  <w:num w:numId="5">
    <w:abstractNumId w:val="16"/>
  </w:num>
  <w:num w:numId="6">
    <w:abstractNumId w:val="29"/>
  </w:num>
  <w:num w:numId="7">
    <w:abstractNumId w:val="21"/>
  </w:num>
  <w:num w:numId="8">
    <w:abstractNumId w:val="27"/>
  </w:num>
  <w:num w:numId="9">
    <w:abstractNumId w:val="7"/>
  </w:num>
  <w:num w:numId="10">
    <w:abstractNumId w:val="24"/>
  </w:num>
  <w:num w:numId="11">
    <w:abstractNumId w:val="8"/>
  </w:num>
  <w:num w:numId="12">
    <w:abstractNumId w:val="17"/>
  </w:num>
  <w:num w:numId="13">
    <w:abstractNumId w:val="22"/>
  </w:num>
  <w:num w:numId="14">
    <w:abstractNumId w:val="0"/>
  </w:num>
  <w:num w:numId="15">
    <w:abstractNumId w:val="13"/>
  </w:num>
  <w:num w:numId="16">
    <w:abstractNumId w:val="6"/>
  </w:num>
  <w:num w:numId="17">
    <w:abstractNumId w:val="28"/>
  </w:num>
  <w:num w:numId="18">
    <w:abstractNumId w:val="10"/>
  </w:num>
  <w:num w:numId="19">
    <w:abstractNumId w:val="25"/>
  </w:num>
  <w:num w:numId="20">
    <w:abstractNumId w:val="12"/>
  </w:num>
  <w:num w:numId="21">
    <w:abstractNumId w:val="20"/>
  </w:num>
  <w:num w:numId="22">
    <w:abstractNumId w:val="11"/>
  </w:num>
  <w:num w:numId="23">
    <w:abstractNumId w:val="1"/>
  </w:num>
  <w:num w:numId="24">
    <w:abstractNumId w:val="18"/>
  </w:num>
  <w:num w:numId="25">
    <w:abstractNumId w:val="4"/>
  </w:num>
  <w:num w:numId="26">
    <w:abstractNumId w:val="32"/>
  </w:num>
  <w:num w:numId="27">
    <w:abstractNumId w:val="23"/>
  </w:num>
  <w:num w:numId="28">
    <w:abstractNumId w:val="14"/>
  </w:num>
  <w:num w:numId="29">
    <w:abstractNumId w:val="30"/>
  </w:num>
  <w:num w:numId="30">
    <w:abstractNumId w:val="15"/>
  </w:num>
  <w:num w:numId="31">
    <w:abstractNumId w:val="9"/>
  </w:num>
  <w:num w:numId="32">
    <w:abstractNumId w:val="26"/>
  </w:num>
  <w:num w:numId="33">
    <w:abstractNumId w:val="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6946"/>
    <w:rsid w:val="00076C7B"/>
    <w:rsid w:val="00092BB7"/>
    <w:rsid w:val="000E7B8A"/>
    <w:rsid w:val="000F6803"/>
    <w:rsid w:val="00121784"/>
    <w:rsid w:val="00136F7E"/>
    <w:rsid w:val="00145DA1"/>
    <w:rsid w:val="00177B5B"/>
    <w:rsid w:val="00184069"/>
    <w:rsid w:val="001951EB"/>
    <w:rsid w:val="001B786B"/>
    <w:rsid w:val="001C1619"/>
    <w:rsid w:val="001D7DE6"/>
    <w:rsid w:val="001F2E3C"/>
    <w:rsid w:val="002119D0"/>
    <w:rsid w:val="002329A0"/>
    <w:rsid w:val="00234399"/>
    <w:rsid w:val="00267341"/>
    <w:rsid w:val="002730FA"/>
    <w:rsid w:val="002B1283"/>
    <w:rsid w:val="002B2791"/>
    <w:rsid w:val="002D54E0"/>
    <w:rsid w:val="002D5DDF"/>
    <w:rsid w:val="002D7E1D"/>
    <w:rsid w:val="002F01FB"/>
    <w:rsid w:val="002F7841"/>
    <w:rsid w:val="00303D91"/>
    <w:rsid w:val="003655FE"/>
    <w:rsid w:val="00371199"/>
    <w:rsid w:val="00372802"/>
    <w:rsid w:val="003905AB"/>
    <w:rsid w:val="003B2D5F"/>
    <w:rsid w:val="003F0483"/>
    <w:rsid w:val="003F15F5"/>
    <w:rsid w:val="003F1F68"/>
    <w:rsid w:val="00402038"/>
    <w:rsid w:val="0044648F"/>
    <w:rsid w:val="00454AD7"/>
    <w:rsid w:val="00456CE5"/>
    <w:rsid w:val="00472A61"/>
    <w:rsid w:val="00495020"/>
    <w:rsid w:val="004C2097"/>
    <w:rsid w:val="004C4D54"/>
    <w:rsid w:val="004C7DFA"/>
    <w:rsid w:val="004D580D"/>
    <w:rsid w:val="00507502"/>
    <w:rsid w:val="00517112"/>
    <w:rsid w:val="005334B0"/>
    <w:rsid w:val="00574F05"/>
    <w:rsid w:val="00577D67"/>
    <w:rsid w:val="00586A03"/>
    <w:rsid w:val="005B7237"/>
    <w:rsid w:val="005E22C8"/>
    <w:rsid w:val="005E62A2"/>
    <w:rsid w:val="006068BC"/>
    <w:rsid w:val="00623E1F"/>
    <w:rsid w:val="00635B95"/>
    <w:rsid w:val="00643011"/>
    <w:rsid w:val="006622F2"/>
    <w:rsid w:val="006661CB"/>
    <w:rsid w:val="00695498"/>
    <w:rsid w:val="006961A0"/>
    <w:rsid w:val="006C27E0"/>
    <w:rsid w:val="006C5887"/>
    <w:rsid w:val="006D2724"/>
    <w:rsid w:val="00700083"/>
    <w:rsid w:val="00701034"/>
    <w:rsid w:val="007614B8"/>
    <w:rsid w:val="007E4DD8"/>
    <w:rsid w:val="00813197"/>
    <w:rsid w:val="008138D3"/>
    <w:rsid w:val="0085705B"/>
    <w:rsid w:val="008F38A3"/>
    <w:rsid w:val="009222BA"/>
    <w:rsid w:val="0094678A"/>
    <w:rsid w:val="00963645"/>
    <w:rsid w:val="00973704"/>
    <w:rsid w:val="009D3DA8"/>
    <w:rsid w:val="009E4E1D"/>
    <w:rsid w:val="009F2672"/>
    <w:rsid w:val="00A05A76"/>
    <w:rsid w:val="00A237E5"/>
    <w:rsid w:val="00A307CD"/>
    <w:rsid w:val="00A44FCF"/>
    <w:rsid w:val="00A67081"/>
    <w:rsid w:val="00A76979"/>
    <w:rsid w:val="00AA2439"/>
    <w:rsid w:val="00AC713E"/>
    <w:rsid w:val="00AC74D0"/>
    <w:rsid w:val="00AF728A"/>
    <w:rsid w:val="00B40166"/>
    <w:rsid w:val="00B608BB"/>
    <w:rsid w:val="00B64069"/>
    <w:rsid w:val="00B91BCC"/>
    <w:rsid w:val="00BB14EC"/>
    <w:rsid w:val="00BB740A"/>
    <w:rsid w:val="00BC2BA3"/>
    <w:rsid w:val="00BE4992"/>
    <w:rsid w:val="00BF019E"/>
    <w:rsid w:val="00C3133B"/>
    <w:rsid w:val="00C86369"/>
    <w:rsid w:val="00C90D88"/>
    <w:rsid w:val="00CA76D5"/>
    <w:rsid w:val="00CC4D50"/>
    <w:rsid w:val="00D11064"/>
    <w:rsid w:val="00D159E9"/>
    <w:rsid w:val="00D31AD4"/>
    <w:rsid w:val="00D43851"/>
    <w:rsid w:val="00D52200"/>
    <w:rsid w:val="00D91677"/>
    <w:rsid w:val="00DA0104"/>
    <w:rsid w:val="00DB7C94"/>
    <w:rsid w:val="00DE5EDB"/>
    <w:rsid w:val="00DF4369"/>
    <w:rsid w:val="00E138CF"/>
    <w:rsid w:val="00E2192D"/>
    <w:rsid w:val="00E22B5B"/>
    <w:rsid w:val="00E4174F"/>
    <w:rsid w:val="00E609B4"/>
    <w:rsid w:val="00E67639"/>
    <w:rsid w:val="00E74A93"/>
    <w:rsid w:val="00E861F7"/>
    <w:rsid w:val="00EB3B7D"/>
    <w:rsid w:val="00EC3C6B"/>
    <w:rsid w:val="00EC5496"/>
    <w:rsid w:val="00EE040C"/>
    <w:rsid w:val="00EF7E4D"/>
    <w:rsid w:val="00F0273C"/>
    <w:rsid w:val="00F1755F"/>
    <w:rsid w:val="00F4300A"/>
    <w:rsid w:val="00F521E4"/>
    <w:rsid w:val="00F758D7"/>
    <w:rsid w:val="00FA59EC"/>
    <w:rsid w:val="00FB1C29"/>
    <w:rsid w:val="00FC32DD"/>
    <w:rsid w:val="00FC54C7"/>
    <w:rsid w:val="00FD104C"/>
    <w:rsid w:val="00FE24CE"/>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ncki.edu.pl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1359</Words>
  <Characters>8155</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11</cp:revision>
  <dcterms:created xsi:type="dcterms:W3CDTF">2023-01-13T13:53:00Z</dcterms:created>
  <dcterms:modified xsi:type="dcterms:W3CDTF">2023-11-02T11:18:00Z</dcterms:modified>
</cp:coreProperties>
</file>