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3355" w14:textId="77777777" w:rsidR="00AE5478" w:rsidRPr="004B6B00" w:rsidRDefault="00AE5478" w:rsidP="006710C8">
      <w:pPr>
        <w:pStyle w:val="Default"/>
        <w:jc w:val="both"/>
        <w:rPr>
          <w:rFonts w:ascii="Bahnschrift Light" w:hAnsi="Bahnschrift Light"/>
          <w:color w:val="auto"/>
        </w:rPr>
      </w:pPr>
    </w:p>
    <w:p w14:paraId="71090614" w14:textId="77777777" w:rsidR="0024083C" w:rsidRDefault="0024083C" w:rsidP="0024083C">
      <w:pPr>
        <w:pStyle w:val="Default"/>
        <w:rPr>
          <w:rFonts w:ascii="Bahnschrift Light" w:hAnsi="Bahnschrift Light" w:cs="Cambria"/>
          <w:b/>
          <w:bCs/>
          <w:color w:val="7030A0"/>
          <w:sz w:val="52"/>
          <w:szCs w:val="52"/>
        </w:rPr>
      </w:pPr>
    </w:p>
    <w:p w14:paraId="31AB592B" w14:textId="77777777" w:rsidR="0024083C" w:rsidRDefault="0024083C" w:rsidP="0024083C">
      <w:pPr>
        <w:pStyle w:val="Default"/>
        <w:rPr>
          <w:rFonts w:ascii="Bahnschrift Light" w:hAnsi="Bahnschrift Light" w:cs="Cambria"/>
          <w:b/>
          <w:bCs/>
          <w:color w:val="7030A0"/>
          <w:sz w:val="52"/>
          <w:szCs w:val="52"/>
        </w:rPr>
      </w:pPr>
    </w:p>
    <w:p w14:paraId="35165C54" w14:textId="77777777" w:rsidR="0024083C" w:rsidRDefault="0024083C" w:rsidP="0024083C">
      <w:pPr>
        <w:pStyle w:val="Default"/>
        <w:rPr>
          <w:rFonts w:ascii="Bahnschrift Light" w:hAnsi="Bahnschrift Light" w:cs="Cambria"/>
          <w:b/>
          <w:bCs/>
          <w:color w:val="7030A0"/>
          <w:sz w:val="52"/>
          <w:szCs w:val="52"/>
        </w:rPr>
      </w:pPr>
    </w:p>
    <w:p w14:paraId="0CDFF2D7" w14:textId="77777777" w:rsidR="0024083C" w:rsidRDefault="0024083C" w:rsidP="0024083C">
      <w:pPr>
        <w:pStyle w:val="Default"/>
        <w:rPr>
          <w:rFonts w:ascii="Bahnschrift Light" w:hAnsi="Bahnschrift Light" w:cs="Cambria"/>
          <w:b/>
          <w:bCs/>
          <w:color w:val="7030A0"/>
          <w:sz w:val="52"/>
          <w:szCs w:val="52"/>
        </w:rPr>
      </w:pPr>
    </w:p>
    <w:p w14:paraId="24FDC4FE" w14:textId="77777777" w:rsidR="0024083C" w:rsidRDefault="0024083C" w:rsidP="0024083C">
      <w:pPr>
        <w:pStyle w:val="Default"/>
        <w:rPr>
          <w:rFonts w:ascii="Bahnschrift Light" w:hAnsi="Bahnschrift Light" w:cs="Cambria"/>
          <w:b/>
          <w:bCs/>
          <w:color w:val="7030A0"/>
          <w:sz w:val="52"/>
          <w:szCs w:val="52"/>
        </w:rPr>
      </w:pPr>
    </w:p>
    <w:p w14:paraId="4FCC19BF" w14:textId="0673D6A2" w:rsidR="00AE5478" w:rsidRPr="0024083C" w:rsidRDefault="00AE5478" w:rsidP="0024083C">
      <w:pPr>
        <w:pStyle w:val="Default"/>
        <w:rPr>
          <w:rFonts w:ascii="Bahnschrift Light" w:hAnsi="Bahnschrift Light" w:cs="Cambria"/>
          <w:color w:val="7030A0"/>
          <w:sz w:val="52"/>
          <w:szCs w:val="52"/>
        </w:rPr>
      </w:pPr>
      <w:r w:rsidRPr="0024083C">
        <w:rPr>
          <w:rFonts w:ascii="Bahnschrift Light" w:hAnsi="Bahnschrift Light" w:cs="Cambria"/>
          <w:b/>
          <w:bCs/>
          <w:color w:val="7030A0"/>
          <w:sz w:val="52"/>
          <w:szCs w:val="52"/>
        </w:rPr>
        <w:t>Strategia HR</w:t>
      </w:r>
    </w:p>
    <w:p w14:paraId="4C3CF572" w14:textId="1BBE14B7" w:rsidR="00AE5478" w:rsidRPr="0024083C" w:rsidRDefault="00AE5478" w:rsidP="0024083C">
      <w:pPr>
        <w:pStyle w:val="Default"/>
        <w:rPr>
          <w:rFonts w:ascii="Bahnschrift Light" w:hAnsi="Bahnschrift Light" w:cs="Cambria"/>
          <w:color w:val="7030A0"/>
          <w:sz w:val="52"/>
          <w:szCs w:val="52"/>
        </w:rPr>
      </w:pPr>
      <w:r w:rsidRPr="0024083C">
        <w:rPr>
          <w:rFonts w:ascii="Bahnschrift Light" w:hAnsi="Bahnschrift Light" w:cs="Cambria"/>
          <w:b/>
          <w:bCs/>
          <w:color w:val="7030A0"/>
          <w:sz w:val="52"/>
          <w:szCs w:val="52"/>
        </w:rPr>
        <w:t xml:space="preserve">Instytutu </w:t>
      </w:r>
      <w:r w:rsidR="004334C1" w:rsidRPr="0024083C">
        <w:rPr>
          <w:rFonts w:ascii="Bahnschrift Light" w:hAnsi="Bahnschrift Light" w:cs="Cambria"/>
          <w:b/>
          <w:bCs/>
          <w:color w:val="7030A0"/>
          <w:sz w:val="52"/>
          <w:szCs w:val="52"/>
        </w:rPr>
        <w:t>Biologii Doświadczalnej im. M. Nenckiego PAN</w:t>
      </w:r>
    </w:p>
    <w:p w14:paraId="59A1035C" w14:textId="662D696D" w:rsidR="00AE5478" w:rsidRPr="0024083C" w:rsidRDefault="00AE5478" w:rsidP="0024083C">
      <w:pPr>
        <w:pStyle w:val="Default"/>
        <w:rPr>
          <w:rFonts w:ascii="Bahnschrift Light" w:hAnsi="Bahnschrift Light" w:cs="Cambria"/>
          <w:color w:val="7030A0"/>
          <w:sz w:val="52"/>
          <w:szCs w:val="52"/>
        </w:rPr>
      </w:pPr>
      <w:r w:rsidRPr="0024083C">
        <w:rPr>
          <w:rFonts w:ascii="Bahnschrift Light" w:hAnsi="Bahnschrift Light" w:cs="Cambria"/>
          <w:b/>
          <w:bCs/>
          <w:color w:val="7030A0"/>
          <w:sz w:val="52"/>
          <w:szCs w:val="52"/>
        </w:rPr>
        <w:t>(HRS4R)</w:t>
      </w:r>
    </w:p>
    <w:p w14:paraId="110ABE4F" w14:textId="4E09F786" w:rsidR="004E4E8A" w:rsidRPr="0096725D" w:rsidRDefault="004E4E8A">
      <w:pPr>
        <w:rPr>
          <w:rFonts w:ascii="Bahnschrift Light" w:hAnsi="Bahnschrift Light" w:cs="Calibri"/>
          <w:sz w:val="24"/>
          <w:szCs w:val="24"/>
        </w:rPr>
      </w:pPr>
      <w:r>
        <w:rPr>
          <w:rFonts w:ascii="Bahnschrift Light" w:hAnsi="Bahnschrift Light"/>
        </w:rPr>
        <w:br w:type="page"/>
      </w:r>
    </w:p>
    <w:sdt>
      <w:sdtPr>
        <w:id w:val="1113554711"/>
        <w:docPartObj>
          <w:docPartGallery w:val="Table of Contents"/>
          <w:docPartUnique/>
        </w:docPartObj>
      </w:sdtPr>
      <w:sdtEndPr>
        <w:rPr>
          <w:rFonts w:asciiTheme="minorHAnsi" w:eastAsiaTheme="minorHAnsi" w:hAnsiTheme="minorHAnsi" w:cstheme="minorBidi"/>
          <w:b/>
          <w:bCs/>
          <w:sz w:val="22"/>
          <w:szCs w:val="22"/>
          <w:lang w:eastAsia="en-US"/>
        </w:rPr>
      </w:sdtEndPr>
      <w:sdtContent>
        <w:p w14:paraId="5D7D5285" w14:textId="0F71F0CE" w:rsidR="004E4E8A" w:rsidRDefault="004E4E8A" w:rsidP="006C0A84">
          <w:pPr>
            <w:pStyle w:val="Nagwekspisutreci"/>
          </w:pPr>
          <w:r>
            <w:t>Spis treści</w:t>
          </w:r>
        </w:p>
        <w:p w14:paraId="1F051D2B" w14:textId="22F2D1D0" w:rsidR="0096725D" w:rsidRDefault="004E4E8A">
          <w:pPr>
            <w:pStyle w:val="Spistreci1"/>
            <w:tabs>
              <w:tab w:val="right" w:leader="dot" w:pos="13856"/>
            </w:tabs>
            <w:rPr>
              <w:rFonts w:eastAsiaTheme="minorEastAsia"/>
              <w:noProof/>
              <w:lang w:eastAsia="pl-PL"/>
            </w:rPr>
          </w:pPr>
          <w:r>
            <w:fldChar w:fldCharType="begin"/>
          </w:r>
          <w:r>
            <w:instrText xml:space="preserve"> TOC \o "1-3" \h \z \u </w:instrText>
          </w:r>
          <w:r>
            <w:fldChar w:fldCharType="separate"/>
          </w:r>
          <w:hyperlink w:anchor="_Toc189226030" w:history="1">
            <w:r w:rsidR="0096725D" w:rsidRPr="00802FBC">
              <w:rPr>
                <w:rStyle w:val="Hipercze"/>
                <w:noProof/>
              </w:rPr>
              <w:t>1. Informacje ogólne</w:t>
            </w:r>
            <w:r w:rsidR="0096725D">
              <w:rPr>
                <w:noProof/>
                <w:webHidden/>
              </w:rPr>
              <w:tab/>
            </w:r>
            <w:r w:rsidR="0096725D">
              <w:rPr>
                <w:noProof/>
                <w:webHidden/>
              </w:rPr>
              <w:fldChar w:fldCharType="begin"/>
            </w:r>
            <w:r w:rsidR="0096725D">
              <w:rPr>
                <w:noProof/>
                <w:webHidden/>
              </w:rPr>
              <w:instrText xml:space="preserve"> PAGEREF _Toc189226030 \h </w:instrText>
            </w:r>
            <w:r w:rsidR="0096725D">
              <w:rPr>
                <w:noProof/>
                <w:webHidden/>
              </w:rPr>
            </w:r>
            <w:r w:rsidR="0096725D">
              <w:rPr>
                <w:noProof/>
                <w:webHidden/>
              </w:rPr>
              <w:fldChar w:fldCharType="separate"/>
            </w:r>
            <w:r w:rsidR="0096725D">
              <w:rPr>
                <w:noProof/>
                <w:webHidden/>
              </w:rPr>
              <w:t>3</w:t>
            </w:r>
            <w:r w:rsidR="0096725D">
              <w:rPr>
                <w:noProof/>
                <w:webHidden/>
              </w:rPr>
              <w:fldChar w:fldCharType="end"/>
            </w:r>
          </w:hyperlink>
        </w:p>
        <w:p w14:paraId="223CBBE3" w14:textId="59C732E2" w:rsidR="0096725D" w:rsidRDefault="0096725D">
          <w:pPr>
            <w:pStyle w:val="Spistreci2"/>
            <w:tabs>
              <w:tab w:val="right" w:leader="dot" w:pos="13856"/>
            </w:tabs>
            <w:rPr>
              <w:rFonts w:eastAsiaTheme="minorEastAsia"/>
              <w:noProof/>
              <w:lang w:eastAsia="pl-PL"/>
            </w:rPr>
          </w:pPr>
          <w:hyperlink w:anchor="_Toc189226031" w:history="1">
            <w:r w:rsidRPr="00802FBC">
              <w:rPr>
                <w:rStyle w:val="Hipercze"/>
                <w:noProof/>
              </w:rPr>
              <w:t>1.1 Misja</w:t>
            </w:r>
            <w:r>
              <w:rPr>
                <w:noProof/>
                <w:webHidden/>
              </w:rPr>
              <w:tab/>
            </w:r>
            <w:r>
              <w:rPr>
                <w:noProof/>
                <w:webHidden/>
              </w:rPr>
              <w:fldChar w:fldCharType="begin"/>
            </w:r>
            <w:r>
              <w:rPr>
                <w:noProof/>
                <w:webHidden/>
              </w:rPr>
              <w:instrText xml:space="preserve"> PAGEREF _Toc189226031 \h </w:instrText>
            </w:r>
            <w:r>
              <w:rPr>
                <w:noProof/>
                <w:webHidden/>
              </w:rPr>
            </w:r>
            <w:r>
              <w:rPr>
                <w:noProof/>
                <w:webHidden/>
              </w:rPr>
              <w:fldChar w:fldCharType="separate"/>
            </w:r>
            <w:r>
              <w:rPr>
                <w:noProof/>
                <w:webHidden/>
              </w:rPr>
              <w:t>3</w:t>
            </w:r>
            <w:r>
              <w:rPr>
                <w:noProof/>
                <w:webHidden/>
              </w:rPr>
              <w:fldChar w:fldCharType="end"/>
            </w:r>
          </w:hyperlink>
        </w:p>
        <w:p w14:paraId="0F00AEF6" w14:textId="040F9C88" w:rsidR="0096725D" w:rsidRDefault="0096725D">
          <w:pPr>
            <w:pStyle w:val="Spistreci2"/>
            <w:tabs>
              <w:tab w:val="right" w:leader="dot" w:pos="13856"/>
            </w:tabs>
            <w:rPr>
              <w:rFonts w:eastAsiaTheme="minorEastAsia"/>
              <w:noProof/>
              <w:lang w:eastAsia="pl-PL"/>
            </w:rPr>
          </w:pPr>
          <w:hyperlink w:anchor="_Toc189226032" w:history="1">
            <w:r w:rsidRPr="00802FBC">
              <w:rPr>
                <w:rStyle w:val="Hipercze"/>
                <w:noProof/>
              </w:rPr>
              <w:t>1.2 Struktura organizacyjna</w:t>
            </w:r>
            <w:r>
              <w:rPr>
                <w:noProof/>
                <w:webHidden/>
              </w:rPr>
              <w:tab/>
            </w:r>
            <w:r>
              <w:rPr>
                <w:noProof/>
                <w:webHidden/>
              </w:rPr>
              <w:fldChar w:fldCharType="begin"/>
            </w:r>
            <w:r>
              <w:rPr>
                <w:noProof/>
                <w:webHidden/>
              </w:rPr>
              <w:instrText xml:space="preserve"> PAGEREF _Toc189226032 \h </w:instrText>
            </w:r>
            <w:r>
              <w:rPr>
                <w:noProof/>
                <w:webHidden/>
              </w:rPr>
            </w:r>
            <w:r>
              <w:rPr>
                <w:noProof/>
                <w:webHidden/>
              </w:rPr>
              <w:fldChar w:fldCharType="separate"/>
            </w:r>
            <w:r>
              <w:rPr>
                <w:noProof/>
                <w:webHidden/>
              </w:rPr>
              <w:t>4</w:t>
            </w:r>
            <w:r>
              <w:rPr>
                <w:noProof/>
                <w:webHidden/>
              </w:rPr>
              <w:fldChar w:fldCharType="end"/>
            </w:r>
          </w:hyperlink>
        </w:p>
        <w:p w14:paraId="2844CF63" w14:textId="64486F7E" w:rsidR="0096725D" w:rsidRDefault="0096725D">
          <w:pPr>
            <w:pStyle w:val="Spistreci3"/>
            <w:tabs>
              <w:tab w:val="right" w:leader="dot" w:pos="13856"/>
            </w:tabs>
            <w:rPr>
              <w:rFonts w:eastAsiaTheme="minorEastAsia"/>
              <w:noProof/>
              <w:lang w:eastAsia="pl-PL"/>
            </w:rPr>
          </w:pPr>
          <w:hyperlink w:anchor="_Toc189226033" w:history="1">
            <w:r w:rsidRPr="00802FBC">
              <w:rPr>
                <w:rStyle w:val="Hipercze"/>
                <w:noProof/>
              </w:rPr>
              <w:t>1.2.1.Jednostki naukowe i usługowe</w:t>
            </w:r>
            <w:r>
              <w:rPr>
                <w:noProof/>
                <w:webHidden/>
              </w:rPr>
              <w:tab/>
            </w:r>
            <w:r>
              <w:rPr>
                <w:noProof/>
                <w:webHidden/>
              </w:rPr>
              <w:fldChar w:fldCharType="begin"/>
            </w:r>
            <w:r>
              <w:rPr>
                <w:noProof/>
                <w:webHidden/>
              </w:rPr>
              <w:instrText xml:space="preserve"> PAGEREF _Toc189226033 \h </w:instrText>
            </w:r>
            <w:r>
              <w:rPr>
                <w:noProof/>
                <w:webHidden/>
              </w:rPr>
            </w:r>
            <w:r>
              <w:rPr>
                <w:noProof/>
                <w:webHidden/>
              </w:rPr>
              <w:fldChar w:fldCharType="separate"/>
            </w:r>
            <w:r>
              <w:rPr>
                <w:noProof/>
                <w:webHidden/>
              </w:rPr>
              <w:t>4</w:t>
            </w:r>
            <w:r>
              <w:rPr>
                <w:noProof/>
                <w:webHidden/>
              </w:rPr>
              <w:fldChar w:fldCharType="end"/>
            </w:r>
          </w:hyperlink>
        </w:p>
        <w:p w14:paraId="72D4CF65" w14:textId="7C5B63E2" w:rsidR="0096725D" w:rsidRDefault="0096725D">
          <w:pPr>
            <w:pStyle w:val="Spistreci3"/>
            <w:tabs>
              <w:tab w:val="right" w:leader="dot" w:pos="13856"/>
            </w:tabs>
            <w:rPr>
              <w:rFonts w:eastAsiaTheme="minorEastAsia"/>
              <w:noProof/>
              <w:lang w:eastAsia="pl-PL"/>
            </w:rPr>
          </w:pPr>
          <w:hyperlink w:anchor="_Toc189226034" w:history="1">
            <w:r w:rsidRPr="00802FBC">
              <w:rPr>
                <w:rStyle w:val="Hipercze"/>
                <w:noProof/>
              </w:rPr>
              <w:t>1.2.2 Jednostki pomocnicze</w:t>
            </w:r>
            <w:r>
              <w:rPr>
                <w:noProof/>
                <w:webHidden/>
              </w:rPr>
              <w:tab/>
            </w:r>
            <w:r>
              <w:rPr>
                <w:noProof/>
                <w:webHidden/>
              </w:rPr>
              <w:fldChar w:fldCharType="begin"/>
            </w:r>
            <w:r>
              <w:rPr>
                <w:noProof/>
                <w:webHidden/>
              </w:rPr>
              <w:instrText xml:space="preserve"> PAGEREF _Toc189226034 \h </w:instrText>
            </w:r>
            <w:r>
              <w:rPr>
                <w:noProof/>
                <w:webHidden/>
              </w:rPr>
            </w:r>
            <w:r>
              <w:rPr>
                <w:noProof/>
                <w:webHidden/>
              </w:rPr>
              <w:fldChar w:fldCharType="separate"/>
            </w:r>
            <w:r>
              <w:rPr>
                <w:noProof/>
                <w:webHidden/>
              </w:rPr>
              <w:t>5</w:t>
            </w:r>
            <w:r>
              <w:rPr>
                <w:noProof/>
                <w:webHidden/>
              </w:rPr>
              <w:fldChar w:fldCharType="end"/>
            </w:r>
          </w:hyperlink>
        </w:p>
        <w:p w14:paraId="69254C00" w14:textId="76302C92" w:rsidR="0096725D" w:rsidRDefault="0096725D">
          <w:pPr>
            <w:pStyle w:val="Spistreci3"/>
            <w:tabs>
              <w:tab w:val="right" w:leader="dot" w:pos="13856"/>
            </w:tabs>
            <w:rPr>
              <w:rFonts w:eastAsiaTheme="minorEastAsia"/>
              <w:noProof/>
              <w:lang w:eastAsia="pl-PL"/>
            </w:rPr>
          </w:pPr>
          <w:hyperlink w:anchor="_Toc189226035" w:history="1">
            <w:r w:rsidRPr="00802FBC">
              <w:rPr>
                <w:rStyle w:val="Hipercze"/>
                <w:noProof/>
              </w:rPr>
              <w:t>1.2.3 Administracja</w:t>
            </w:r>
            <w:r>
              <w:rPr>
                <w:noProof/>
                <w:webHidden/>
              </w:rPr>
              <w:tab/>
            </w:r>
            <w:r>
              <w:rPr>
                <w:noProof/>
                <w:webHidden/>
              </w:rPr>
              <w:fldChar w:fldCharType="begin"/>
            </w:r>
            <w:r>
              <w:rPr>
                <w:noProof/>
                <w:webHidden/>
              </w:rPr>
              <w:instrText xml:space="preserve"> PAGEREF _Toc189226035 \h </w:instrText>
            </w:r>
            <w:r>
              <w:rPr>
                <w:noProof/>
                <w:webHidden/>
              </w:rPr>
            </w:r>
            <w:r>
              <w:rPr>
                <w:noProof/>
                <w:webHidden/>
              </w:rPr>
              <w:fldChar w:fldCharType="separate"/>
            </w:r>
            <w:r>
              <w:rPr>
                <w:noProof/>
                <w:webHidden/>
              </w:rPr>
              <w:t>6</w:t>
            </w:r>
            <w:r>
              <w:rPr>
                <w:noProof/>
                <w:webHidden/>
              </w:rPr>
              <w:fldChar w:fldCharType="end"/>
            </w:r>
          </w:hyperlink>
        </w:p>
        <w:p w14:paraId="56E19502" w14:textId="72F95FE4" w:rsidR="0096725D" w:rsidRDefault="0096725D">
          <w:pPr>
            <w:pStyle w:val="Spistreci2"/>
            <w:tabs>
              <w:tab w:val="right" w:leader="dot" w:pos="13856"/>
            </w:tabs>
            <w:rPr>
              <w:rFonts w:eastAsiaTheme="minorEastAsia"/>
              <w:noProof/>
              <w:lang w:eastAsia="pl-PL"/>
            </w:rPr>
          </w:pPr>
          <w:hyperlink w:anchor="_Toc189226036" w:history="1">
            <w:r w:rsidRPr="00802FBC">
              <w:rPr>
                <w:rStyle w:val="Hipercze"/>
                <w:noProof/>
                <w:shd w:val="clear" w:color="auto" w:fill="FFFFFF"/>
              </w:rPr>
              <w:t>1.3 Współpraca międzynarodowa</w:t>
            </w:r>
            <w:r>
              <w:rPr>
                <w:noProof/>
                <w:webHidden/>
              </w:rPr>
              <w:tab/>
            </w:r>
            <w:r>
              <w:rPr>
                <w:noProof/>
                <w:webHidden/>
              </w:rPr>
              <w:fldChar w:fldCharType="begin"/>
            </w:r>
            <w:r>
              <w:rPr>
                <w:noProof/>
                <w:webHidden/>
              </w:rPr>
              <w:instrText xml:space="preserve"> PAGEREF _Toc189226036 \h </w:instrText>
            </w:r>
            <w:r>
              <w:rPr>
                <w:noProof/>
                <w:webHidden/>
              </w:rPr>
            </w:r>
            <w:r>
              <w:rPr>
                <w:noProof/>
                <w:webHidden/>
              </w:rPr>
              <w:fldChar w:fldCharType="separate"/>
            </w:r>
            <w:r>
              <w:rPr>
                <w:noProof/>
                <w:webHidden/>
              </w:rPr>
              <w:t>7</w:t>
            </w:r>
            <w:r>
              <w:rPr>
                <w:noProof/>
                <w:webHidden/>
              </w:rPr>
              <w:fldChar w:fldCharType="end"/>
            </w:r>
          </w:hyperlink>
        </w:p>
        <w:p w14:paraId="271E54FB" w14:textId="674BA1A7" w:rsidR="0096725D" w:rsidRDefault="0096725D">
          <w:pPr>
            <w:pStyle w:val="Spistreci2"/>
            <w:tabs>
              <w:tab w:val="right" w:leader="dot" w:pos="13856"/>
            </w:tabs>
            <w:rPr>
              <w:rFonts w:eastAsiaTheme="minorEastAsia"/>
              <w:noProof/>
              <w:lang w:eastAsia="pl-PL"/>
            </w:rPr>
          </w:pPr>
          <w:hyperlink w:anchor="_Toc189226037" w:history="1">
            <w:r w:rsidRPr="00802FBC">
              <w:rPr>
                <w:rStyle w:val="Hipercze"/>
                <w:noProof/>
              </w:rPr>
              <w:t>1.4 Struktura zatrudnienia</w:t>
            </w:r>
            <w:r>
              <w:rPr>
                <w:noProof/>
                <w:webHidden/>
              </w:rPr>
              <w:tab/>
            </w:r>
            <w:r>
              <w:rPr>
                <w:noProof/>
                <w:webHidden/>
              </w:rPr>
              <w:fldChar w:fldCharType="begin"/>
            </w:r>
            <w:r>
              <w:rPr>
                <w:noProof/>
                <w:webHidden/>
              </w:rPr>
              <w:instrText xml:space="preserve"> PAGEREF _Toc189226037 \h </w:instrText>
            </w:r>
            <w:r>
              <w:rPr>
                <w:noProof/>
                <w:webHidden/>
              </w:rPr>
            </w:r>
            <w:r>
              <w:rPr>
                <w:noProof/>
                <w:webHidden/>
              </w:rPr>
              <w:fldChar w:fldCharType="separate"/>
            </w:r>
            <w:r>
              <w:rPr>
                <w:noProof/>
                <w:webHidden/>
              </w:rPr>
              <w:t>7</w:t>
            </w:r>
            <w:r>
              <w:rPr>
                <w:noProof/>
                <w:webHidden/>
              </w:rPr>
              <w:fldChar w:fldCharType="end"/>
            </w:r>
          </w:hyperlink>
        </w:p>
        <w:p w14:paraId="51AEE033" w14:textId="17073E1B" w:rsidR="0096725D" w:rsidRDefault="0096725D">
          <w:pPr>
            <w:pStyle w:val="Spistreci1"/>
            <w:tabs>
              <w:tab w:val="right" w:leader="dot" w:pos="13856"/>
            </w:tabs>
            <w:rPr>
              <w:rFonts w:eastAsiaTheme="minorEastAsia"/>
              <w:noProof/>
              <w:lang w:eastAsia="pl-PL"/>
            </w:rPr>
          </w:pPr>
          <w:hyperlink w:anchor="_Toc189226038" w:history="1">
            <w:r w:rsidRPr="00802FBC">
              <w:rPr>
                <w:rStyle w:val="Hipercze"/>
                <w:noProof/>
              </w:rPr>
              <w:t>2. Aktualizacja Strategii HR (HRS4R)</w:t>
            </w:r>
            <w:r>
              <w:rPr>
                <w:noProof/>
                <w:webHidden/>
              </w:rPr>
              <w:tab/>
            </w:r>
            <w:r>
              <w:rPr>
                <w:noProof/>
                <w:webHidden/>
              </w:rPr>
              <w:fldChar w:fldCharType="begin"/>
            </w:r>
            <w:r>
              <w:rPr>
                <w:noProof/>
                <w:webHidden/>
              </w:rPr>
              <w:instrText xml:space="preserve"> PAGEREF _Toc189226038 \h </w:instrText>
            </w:r>
            <w:r>
              <w:rPr>
                <w:noProof/>
                <w:webHidden/>
              </w:rPr>
            </w:r>
            <w:r>
              <w:rPr>
                <w:noProof/>
                <w:webHidden/>
              </w:rPr>
              <w:fldChar w:fldCharType="separate"/>
            </w:r>
            <w:r>
              <w:rPr>
                <w:noProof/>
                <w:webHidden/>
              </w:rPr>
              <w:t>9</w:t>
            </w:r>
            <w:r>
              <w:rPr>
                <w:noProof/>
                <w:webHidden/>
              </w:rPr>
              <w:fldChar w:fldCharType="end"/>
            </w:r>
          </w:hyperlink>
        </w:p>
        <w:p w14:paraId="3CDBD527" w14:textId="7D1E3611" w:rsidR="0096725D" w:rsidRDefault="0096725D">
          <w:pPr>
            <w:pStyle w:val="Spistreci1"/>
            <w:tabs>
              <w:tab w:val="right" w:leader="dot" w:pos="13856"/>
            </w:tabs>
            <w:rPr>
              <w:rFonts w:eastAsiaTheme="minorEastAsia"/>
              <w:noProof/>
              <w:lang w:eastAsia="pl-PL"/>
            </w:rPr>
          </w:pPr>
          <w:hyperlink w:anchor="_Toc189226039" w:history="1">
            <w:r w:rsidRPr="00802FBC">
              <w:rPr>
                <w:rStyle w:val="Hipercze"/>
                <w:rFonts w:cs="Arial"/>
                <w:noProof/>
              </w:rPr>
              <w:t xml:space="preserve">3. Analiza 4 filarów </w:t>
            </w:r>
            <w:r w:rsidRPr="00802FBC">
              <w:rPr>
                <w:rStyle w:val="Hipercze"/>
                <w:noProof/>
              </w:rPr>
              <w:t>Europejskiej Karty Naukowca</w:t>
            </w:r>
            <w:r>
              <w:rPr>
                <w:noProof/>
                <w:webHidden/>
              </w:rPr>
              <w:tab/>
            </w:r>
            <w:r>
              <w:rPr>
                <w:noProof/>
                <w:webHidden/>
              </w:rPr>
              <w:fldChar w:fldCharType="begin"/>
            </w:r>
            <w:r>
              <w:rPr>
                <w:noProof/>
                <w:webHidden/>
              </w:rPr>
              <w:instrText xml:space="preserve"> PAGEREF _Toc189226039 \h </w:instrText>
            </w:r>
            <w:r>
              <w:rPr>
                <w:noProof/>
                <w:webHidden/>
              </w:rPr>
            </w:r>
            <w:r>
              <w:rPr>
                <w:noProof/>
                <w:webHidden/>
              </w:rPr>
              <w:fldChar w:fldCharType="separate"/>
            </w:r>
            <w:r>
              <w:rPr>
                <w:noProof/>
                <w:webHidden/>
              </w:rPr>
              <w:t>9</w:t>
            </w:r>
            <w:r>
              <w:rPr>
                <w:noProof/>
                <w:webHidden/>
              </w:rPr>
              <w:fldChar w:fldCharType="end"/>
            </w:r>
          </w:hyperlink>
        </w:p>
        <w:p w14:paraId="588CFDBA" w14:textId="6B69D9A3" w:rsidR="0096725D" w:rsidRDefault="0096725D">
          <w:pPr>
            <w:pStyle w:val="Spistreci1"/>
            <w:tabs>
              <w:tab w:val="right" w:leader="dot" w:pos="13856"/>
            </w:tabs>
            <w:rPr>
              <w:rFonts w:eastAsiaTheme="minorEastAsia"/>
              <w:noProof/>
              <w:lang w:eastAsia="pl-PL"/>
            </w:rPr>
          </w:pPr>
          <w:hyperlink w:anchor="_Toc189226040" w:history="1">
            <w:r w:rsidRPr="00802FBC">
              <w:rPr>
                <w:rStyle w:val="Hipercze"/>
                <w:noProof/>
              </w:rPr>
              <w:t>FILAR 1</w:t>
            </w:r>
            <w:r>
              <w:rPr>
                <w:noProof/>
                <w:webHidden/>
              </w:rPr>
              <w:tab/>
            </w:r>
            <w:r>
              <w:rPr>
                <w:noProof/>
                <w:webHidden/>
              </w:rPr>
              <w:fldChar w:fldCharType="begin"/>
            </w:r>
            <w:r>
              <w:rPr>
                <w:noProof/>
                <w:webHidden/>
              </w:rPr>
              <w:instrText xml:space="preserve"> PAGEREF _Toc189226040 \h </w:instrText>
            </w:r>
            <w:r>
              <w:rPr>
                <w:noProof/>
                <w:webHidden/>
              </w:rPr>
            </w:r>
            <w:r>
              <w:rPr>
                <w:noProof/>
                <w:webHidden/>
              </w:rPr>
              <w:fldChar w:fldCharType="separate"/>
            </w:r>
            <w:r>
              <w:rPr>
                <w:noProof/>
                <w:webHidden/>
              </w:rPr>
              <w:t>9</w:t>
            </w:r>
            <w:r>
              <w:rPr>
                <w:noProof/>
                <w:webHidden/>
              </w:rPr>
              <w:fldChar w:fldCharType="end"/>
            </w:r>
          </w:hyperlink>
        </w:p>
        <w:p w14:paraId="33EEAA21" w14:textId="777AFC47" w:rsidR="0096725D" w:rsidRDefault="0096725D">
          <w:pPr>
            <w:pStyle w:val="Spistreci1"/>
            <w:tabs>
              <w:tab w:val="right" w:leader="dot" w:pos="13856"/>
            </w:tabs>
            <w:rPr>
              <w:rFonts w:eastAsiaTheme="minorEastAsia"/>
              <w:noProof/>
              <w:lang w:eastAsia="pl-PL"/>
            </w:rPr>
          </w:pPr>
          <w:hyperlink w:anchor="_Toc189226041" w:history="1">
            <w:r w:rsidRPr="00802FBC">
              <w:rPr>
                <w:rStyle w:val="Hipercze"/>
                <w:noProof/>
              </w:rPr>
              <w:t>ETYKA, RZETELNOŚĆ, ASPEKT PŁCI, OTWARTA NAUKA</w:t>
            </w:r>
            <w:r>
              <w:rPr>
                <w:noProof/>
                <w:webHidden/>
              </w:rPr>
              <w:tab/>
            </w:r>
            <w:r>
              <w:rPr>
                <w:noProof/>
                <w:webHidden/>
              </w:rPr>
              <w:fldChar w:fldCharType="begin"/>
            </w:r>
            <w:r>
              <w:rPr>
                <w:noProof/>
                <w:webHidden/>
              </w:rPr>
              <w:instrText xml:space="preserve"> PAGEREF _Toc189226041 \h </w:instrText>
            </w:r>
            <w:r>
              <w:rPr>
                <w:noProof/>
                <w:webHidden/>
              </w:rPr>
            </w:r>
            <w:r>
              <w:rPr>
                <w:noProof/>
                <w:webHidden/>
              </w:rPr>
              <w:fldChar w:fldCharType="separate"/>
            </w:r>
            <w:r>
              <w:rPr>
                <w:noProof/>
                <w:webHidden/>
              </w:rPr>
              <w:t>9</w:t>
            </w:r>
            <w:r>
              <w:rPr>
                <w:noProof/>
                <w:webHidden/>
              </w:rPr>
              <w:fldChar w:fldCharType="end"/>
            </w:r>
          </w:hyperlink>
        </w:p>
        <w:p w14:paraId="66017A7E" w14:textId="450C4533" w:rsidR="0096725D" w:rsidRDefault="0096725D">
          <w:pPr>
            <w:pStyle w:val="Spistreci2"/>
            <w:tabs>
              <w:tab w:val="right" w:leader="dot" w:pos="13856"/>
            </w:tabs>
            <w:rPr>
              <w:rFonts w:eastAsiaTheme="minorEastAsia"/>
              <w:noProof/>
              <w:lang w:eastAsia="pl-PL"/>
            </w:rPr>
          </w:pPr>
          <w:hyperlink w:anchor="_Toc189226042" w:history="1">
            <w:r w:rsidRPr="00802FBC">
              <w:rPr>
                <w:rStyle w:val="Hipercze"/>
                <w:noProof/>
              </w:rPr>
              <w:t>1. Etyka i rzetelność badawcza</w:t>
            </w:r>
            <w:r>
              <w:rPr>
                <w:noProof/>
                <w:webHidden/>
              </w:rPr>
              <w:tab/>
            </w:r>
            <w:r>
              <w:rPr>
                <w:noProof/>
                <w:webHidden/>
              </w:rPr>
              <w:fldChar w:fldCharType="begin"/>
            </w:r>
            <w:r>
              <w:rPr>
                <w:noProof/>
                <w:webHidden/>
              </w:rPr>
              <w:instrText xml:space="preserve"> PAGEREF _Toc189226042 \h </w:instrText>
            </w:r>
            <w:r>
              <w:rPr>
                <w:noProof/>
                <w:webHidden/>
              </w:rPr>
            </w:r>
            <w:r>
              <w:rPr>
                <w:noProof/>
                <w:webHidden/>
              </w:rPr>
              <w:fldChar w:fldCharType="separate"/>
            </w:r>
            <w:r>
              <w:rPr>
                <w:noProof/>
                <w:webHidden/>
              </w:rPr>
              <w:t>9</w:t>
            </w:r>
            <w:r>
              <w:rPr>
                <w:noProof/>
                <w:webHidden/>
              </w:rPr>
              <w:fldChar w:fldCharType="end"/>
            </w:r>
          </w:hyperlink>
        </w:p>
        <w:p w14:paraId="61C5310D" w14:textId="70796303" w:rsidR="0096725D" w:rsidRDefault="0096725D">
          <w:pPr>
            <w:pStyle w:val="Spistreci2"/>
            <w:tabs>
              <w:tab w:val="right" w:leader="dot" w:pos="13856"/>
            </w:tabs>
            <w:rPr>
              <w:rFonts w:eastAsiaTheme="minorEastAsia"/>
              <w:noProof/>
              <w:lang w:eastAsia="pl-PL"/>
            </w:rPr>
          </w:pPr>
          <w:hyperlink w:anchor="_Toc189226043" w:history="1">
            <w:r w:rsidRPr="00802FBC">
              <w:rPr>
                <w:rStyle w:val="Hipercze"/>
                <w:noProof/>
              </w:rPr>
              <w:t>2 Wolność badań naukowych</w:t>
            </w:r>
            <w:r>
              <w:rPr>
                <w:noProof/>
                <w:webHidden/>
              </w:rPr>
              <w:tab/>
            </w:r>
            <w:r>
              <w:rPr>
                <w:noProof/>
                <w:webHidden/>
              </w:rPr>
              <w:fldChar w:fldCharType="begin"/>
            </w:r>
            <w:r>
              <w:rPr>
                <w:noProof/>
                <w:webHidden/>
              </w:rPr>
              <w:instrText xml:space="preserve"> PAGEREF _Toc189226043 \h </w:instrText>
            </w:r>
            <w:r>
              <w:rPr>
                <w:noProof/>
                <w:webHidden/>
              </w:rPr>
            </w:r>
            <w:r>
              <w:rPr>
                <w:noProof/>
                <w:webHidden/>
              </w:rPr>
              <w:fldChar w:fldCharType="separate"/>
            </w:r>
            <w:r>
              <w:rPr>
                <w:noProof/>
                <w:webHidden/>
              </w:rPr>
              <w:t>10</w:t>
            </w:r>
            <w:r>
              <w:rPr>
                <w:noProof/>
                <w:webHidden/>
              </w:rPr>
              <w:fldChar w:fldCharType="end"/>
            </w:r>
          </w:hyperlink>
        </w:p>
        <w:p w14:paraId="64F7B489" w14:textId="77A9231C" w:rsidR="0096725D" w:rsidRDefault="0096725D">
          <w:pPr>
            <w:pStyle w:val="Spistreci2"/>
            <w:tabs>
              <w:tab w:val="right" w:leader="dot" w:pos="13856"/>
            </w:tabs>
            <w:rPr>
              <w:rFonts w:eastAsiaTheme="minorEastAsia"/>
              <w:noProof/>
              <w:lang w:eastAsia="pl-PL"/>
            </w:rPr>
          </w:pPr>
          <w:hyperlink w:anchor="_Toc189226044" w:history="1">
            <w:r w:rsidRPr="00802FBC">
              <w:rPr>
                <w:rStyle w:val="Hipercze"/>
                <w:noProof/>
              </w:rPr>
              <w:t>3. Otwarta nauka</w:t>
            </w:r>
            <w:r>
              <w:rPr>
                <w:noProof/>
                <w:webHidden/>
              </w:rPr>
              <w:tab/>
            </w:r>
            <w:r>
              <w:rPr>
                <w:noProof/>
                <w:webHidden/>
              </w:rPr>
              <w:fldChar w:fldCharType="begin"/>
            </w:r>
            <w:r>
              <w:rPr>
                <w:noProof/>
                <w:webHidden/>
              </w:rPr>
              <w:instrText xml:space="preserve"> PAGEREF _Toc189226044 \h </w:instrText>
            </w:r>
            <w:r>
              <w:rPr>
                <w:noProof/>
                <w:webHidden/>
              </w:rPr>
            </w:r>
            <w:r>
              <w:rPr>
                <w:noProof/>
                <w:webHidden/>
              </w:rPr>
              <w:fldChar w:fldCharType="separate"/>
            </w:r>
            <w:r>
              <w:rPr>
                <w:noProof/>
                <w:webHidden/>
              </w:rPr>
              <w:t>10</w:t>
            </w:r>
            <w:r>
              <w:rPr>
                <w:noProof/>
                <w:webHidden/>
              </w:rPr>
              <w:fldChar w:fldCharType="end"/>
            </w:r>
          </w:hyperlink>
        </w:p>
        <w:p w14:paraId="0DD5CC6E" w14:textId="59664428" w:rsidR="0096725D" w:rsidRDefault="0096725D">
          <w:pPr>
            <w:pStyle w:val="Spistreci2"/>
            <w:tabs>
              <w:tab w:val="right" w:leader="dot" w:pos="13856"/>
            </w:tabs>
            <w:rPr>
              <w:rFonts w:eastAsiaTheme="minorEastAsia"/>
              <w:noProof/>
              <w:lang w:eastAsia="pl-PL"/>
            </w:rPr>
          </w:pPr>
          <w:hyperlink w:anchor="_Toc189226045" w:history="1">
            <w:r w:rsidRPr="00802FBC">
              <w:rPr>
                <w:rStyle w:val="Hipercze"/>
                <w:noProof/>
              </w:rPr>
              <w:t>4. Nauka obywatelska</w:t>
            </w:r>
            <w:r>
              <w:rPr>
                <w:noProof/>
                <w:webHidden/>
              </w:rPr>
              <w:tab/>
            </w:r>
            <w:r>
              <w:rPr>
                <w:noProof/>
                <w:webHidden/>
              </w:rPr>
              <w:fldChar w:fldCharType="begin"/>
            </w:r>
            <w:r>
              <w:rPr>
                <w:noProof/>
                <w:webHidden/>
              </w:rPr>
              <w:instrText xml:space="preserve"> PAGEREF _Toc189226045 \h </w:instrText>
            </w:r>
            <w:r>
              <w:rPr>
                <w:noProof/>
                <w:webHidden/>
              </w:rPr>
            </w:r>
            <w:r>
              <w:rPr>
                <w:noProof/>
                <w:webHidden/>
              </w:rPr>
              <w:fldChar w:fldCharType="separate"/>
            </w:r>
            <w:r>
              <w:rPr>
                <w:noProof/>
                <w:webHidden/>
              </w:rPr>
              <w:t>11</w:t>
            </w:r>
            <w:r>
              <w:rPr>
                <w:noProof/>
                <w:webHidden/>
              </w:rPr>
              <w:fldChar w:fldCharType="end"/>
            </w:r>
          </w:hyperlink>
        </w:p>
        <w:p w14:paraId="5E105793" w14:textId="599E9BE3" w:rsidR="0096725D" w:rsidRDefault="0096725D">
          <w:pPr>
            <w:pStyle w:val="Spistreci2"/>
            <w:tabs>
              <w:tab w:val="right" w:leader="dot" w:pos="13856"/>
            </w:tabs>
            <w:rPr>
              <w:rFonts w:eastAsiaTheme="minorEastAsia"/>
              <w:noProof/>
              <w:lang w:eastAsia="pl-PL"/>
            </w:rPr>
          </w:pPr>
          <w:hyperlink w:anchor="_Toc189226046" w:history="1">
            <w:r w:rsidRPr="00802FBC">
              <w:rPr>
                <w:rStyle w:val="Hipercze"/>
                <w:noProof/>
              </w:rPr>
              <w:t>5 Równouprawnienie płci</w:t>
            </w:r>
            <w:r>
              <w:rPr>
                <w:noProof/>
                <w:webHidden/>
              </w:rPr>
              <w:tab/>
            </w:r>
            <w:r>
              <w:rPr>
                <w:noProof/>
                <w:webHidden/>
              </w:rPr>
              <w:fldChar w:fldCharType="begin"/>
            </w:r>
            <w:r>
              <w:rPr>
                <w:noProof/>
                <w:webHidden/>
              </w:rPr>
              <w:instrText xml:space="preserve"> PAGEREF _Toc189226046 \h </w:instrText>
            </w:r>
            <w:r>
              <w:rPr>
                <w:noProof/>
                <w:webHidden/>
              </w:rPr>
            </w:r>
            <w:r>
              <w:rPr>
                <w:noProof/>
                <w:webHidden/>
              </w:rPr>
              <w:fldChar w:fldCharType="separate"/>
            </w:r>
            <w:r>
              <w:rPr>
                <w:noProof/>
                <w:webHidden/>
              </w:rPr>
              <w:t>11</w:t>
            </w:r>
            <w:r>
              <w:rPr>
                <w:noProof/>
                <w:webHidden/>
              </w:rPr>
              <w:fldChar w:fldCharType="end"/>
            </w:r>
          </w:hyperlink>
        </w:p>
        <w:p w14:paraId="33FC8469" w14:textId="7C4FD78F" w:rsidR="0096725D" w:rsidRDefault="0096725D">
          <w:pPr>
            <w:pStyle w:val="Spistreci2"/>
            <w:tabs>
              <w:tab w:val="right" w:leader="dot" w:pos="13856"/>
            </w:tabs>
            <w:rPr>
              <w:rFonts w:eastAsiaTheme="minorEastAsia"/>
              <w:noProof/>
              <w:lang w:eastAsia="pl-PL"/>
            </w:rPr>
          </w:pPr>
          <w:hyperlink w:anchor="_Toc189226047" w:history="1">
            <w:r w:rsidRPr="00802FBC">
              <w:rPr>
                <w:rStyle w:val="Hipercze"/>
                <w:noProof/>
              </w:rPr>
              <w:t>6. Uwzględnianie różnorodności</w:t>
            </w:r>
            <w:r>
              <w:rPr>
                <w:noProof/>
                <w:webHidden/>
              </w:rPr>
              <w:tab/>
            </w:r>
            <w:r>
              <w:rPr>
                <w:noProof/>
                <w:webHidden/>
              </w:rPr>
              <w:fldChar w:fldCharType="begin"/>
            </w:r>
            <w:r>
              <w:rPr>
                <w:noProof/>
                <w:webHidden/>
              </w:rPr>
              <w:instrText xml:space="preserve"> PAGEREF _Toc189226047 \h </w:instrText>
            </w:r>
            <w:r>
              <w:rPr>
                <w:noProof/>
                <w:webHidden/>
              </w:rPr>
            </w:r>
            <w:r>
              <w:rPr>
                <w:noProof/>
                <w:webHidden/>
              </w:rPr>
              <w:fldChar w:fldCharType="separate"/>
            </w:r>
            <w:r>
              <w:rPr>
                <w:noProof/>
                <w:webHidden/>
              </w:rPr>
              <w:t>12</w:t>
            </w:r>
            <w:r>
              <w:rPr>
                <w:noProof/>
                <w:webHidden/>
              </w:rPr>
              <w:fldChar w:fldCharType="end"/>
            </w:r>
          </w:hyperlink>
        </w:p>
        <w:p w14:paraId="79707A18" w14:textId="5C1E25E6" w:rsidR="0096725D" w:rsidRDefault="0096725D">
          <w:pPr>
            <w:pStyle w:val="Spistreci2"/>
            <w:tabs>
              <w:tab w:val="right" w:leader="dot" w:pos="13856"/>
            </w:tabs>
            <w:rPr>
              <w:rFonts w:eastAsiaTheme="minorEastAsia"/>
              <w:noProof/>
              <w:lang w:eastAsia="pl-PL"/>
            </w:rPr>
          </w:pPr>
          <w:hyperlink w:anchor="_Toc189226048" w:history="1">
            <w:r w:rsidRPr="00802FBC">
              <w:rPr>
                <w:rStyle w:val="Hipercze"/>
                <w:noProof/>
              </w:rPr>
              <w:t>7. Naukowiec</w:t>
            </w:r>
            <w:r>
              <w:rPr>
                <w:noProof/>
                <w:webHidden/>
              </w:rPr>
              <w:tab/>
            </w:r>
            <w:r>
              <w:rPr>
                <w:noProof/>
                <w:webHidden/>
              </w:rPr>
              <w:fldChar w:fldCharType="begin"/>
            </w:r>
            <w:r>
              <w:rPr>
                <w:noProof/>
                <w:webHidden/>
              </w:rPr>
              <w:instrText xml:space="preserve"> PAGEREF _Toc189226048 \h </w:instrText>
            </w:r>
            <w:r>
              <w:rPr>
                <w:noProof/>
                <w:webHidden/>
              </w:rPr>
            </w:r>
            <w:r>
              <w:rPr>
                <w:noProof/>
                <w:webHidden/>
              </w:rPr>
              <w:fldChar w:fldCharType="separate"/>
            </w:r>
            <w:r>
              <w:rPr>
                <w:noProof/>
                <w:webHidden/>
              </w:rPr>
              <w:t>12</w:t>
            </w:r>
            <w:r>
              <w:rPr>
                <w:noProof/>
                <w:webHidden/>
              </w:rPr>
              <w:fldChar w:fldCharType="end"/>
            </w:r>
          </w:hyperlink>
        </w:p>
        <w:p w14:paraId="6B08F5A2" w14:textId="01307111" w:rsidR="0096725D" w:rsidRDefault="0096725D">
          <w:pPr>
            <w:pStyle w:val="Spistreci2"/>
            <w:tabs>
              <w:tab w:val="right" w:leader="dot" w:pos="13856"/>
            </w:tabs>
            <w:rPr>
              <w:rFonts w:eastAsiaTheme="minorEastAsia"/>
              <w:noProof/>
              <w:lang w:eastAsia="pl-PL"/>
            </w:rPr>
          </w:pPr>
          <w:hyperlink w:anchor="_Toc189226049" w:history="1">
            <w:r w:rsidRPr="00802FBC">
              <w:rPr>
                <w:rStyle w:val="Hipercze"/>
                <w:noProof/>
              </w:rPr>
              <w:t>8. Mobilność naukowców</w:t>
            </w:r>
            <w:r>
              <w:rPr>
                <w:noProof/>
                <w:webHidden/>
              </w:rPr>
              <w:tab/>
            </w:r>
            <w:r>
              <w:rPr>
                <w:noProof/>
                <w:webHidden/>
              </w:rPr>
              <w:fldChar w:fldCharType="begin"/>
            </w:r>
            <w:r>
              <w:rPr>
                <w:noProof/>
                <w:webHidden/>
              </w:rPr>
              <w:instrText xml:space="preserve"> PAGEREF _Toc189226049 \h </w:instrText>
            </w:r>
            <w:r>
              <w:rPr>
                <w:noProof/>
                <w:webHidden/>
              </w:rPr>
            </w:r>
            <w:r>
              <w:rPr>
                <w:noProof/>
                <w:webHidden/>
              </w:rPr>
              <w:fldChar w:fldCharType="separate"/>
            </w:r>
            <w:r>
              <w:rPr>
                <w:noProof/>
                <w:webHidden/>
              </w:rPr>
              <w:t>13</w:t>
            </w:r>
            <w:r>
              <w:rPr>
                <w:noProof/>
                <w:webHidden/>
              </w:rPr>
              <w:fldChar w:fldCharType="end"/>
            </w:r>
          </w:hyperlink>
        </w:p>
        <w:p w14:paraId="51C43F10" w14:textId="53D330EF" w:rsidR="0096725D" w:rsidRDefault="0096725D">
          <w:pPr>
            <w:pStyle w:val="Spistreci2"/>
            <w:tabs>
              <w:tab w:val="right" w:leader="dot" w:pos="13856"/>
            </w:tabs>
            <w:rPr>
              <w:rFonts w:eastAsiaTheme="minorEastAsia"/>
              <w:noProof/>
              <w:lang w:eastAsia="pl-PL"/>
            </w:rPr>
          </w:pPr>
          <w:hyperlink w:anchor="_Toc189226050" w:history="1">
            <w:r w:rsidRPr="00802FBC">
              <w:rPr>
                <w:rStyle w:val="Hipercze"/>
                <w:noProof/>
              </w:rPr>
              <w:t>9. Zrównoważone badania</w:t>
            </w:r>
            <w:r>
              <w:rPr>
                <w:noProof/>
                <w:webHidden/>
              </w:rPr>
              <w:tab/>
            </w:r>
            <w:r>
              <w:rPr>
                <w:noProof/>
                <w:webHidden/>
              </w:rPr>
              <w:fldChar w:fldCharType="begin"/>
            </w:r>
            <w:r>
              <w:rPr>
                <w:noProof/>
                <w:webHidden/>
              </w:rPr>
              <w:instrText xml:space="preserve"> PAGEREF _Toc189226050 \h </w:instrText>
            </w:r>
            <w:r>
              <w:rPr>
                <w:noProof/>
                <w:webHidden/>
              </w:rPr>
            </w:r>
            <w:r>
              <w:rPr>
                <w:noProof/>
                <w:webHidden/>
              </w:rPr>
              <w:fldChar w:fldCharType="separate"/>
            </w:r>
            <w:r>
              <w:rPr>
                <w:noProof/>
                <w:webHidden/>
              </w:rPr>
              <w:t>13</w:t>
            </w:r>
            <w:r>
              <w:rPr>
                <w:noProof/>
                <w:webHidden/>
              </w:rPr>
              <w:fldChar w:fldCharType="end"/>
            </w:r>
          </w:hyperlink>
        </w:p>
        <w:p w14:paraId="70B42259" w14:textId="278B8EEA" w:rsidR="0096725D" w:rsidRDefault="0096725D">
          <w:pPr>
            <w:pStyle w:val="Spistreci1"/>
            <w:tabs>
              <w:tab w:val="right" w:leader="dot" w:pos="13856"/>
            </w:tabs>
            <w:rPr>
              <w:rFonts w:eastAsiaTheme="minorEastAsia"/>
              <w:noProof/>
              <w:lang w:eastAsia="pl-PL"/>
            </w:rPr>
          </w:pPr>
          <w:hyperlink w:anchor="_Toc189226051" w:history="1">
            <w:r w:rsidRPr="00802FBC">
              <w:rPr>
                <w:rStyle w:val="Hipercze"/>
                <w:noProof/>
              </w:rPr>
              <w:t>FILAR 2</w:t>
            </w:r>
            <w:r>
              <w:rPr>
                <w:noProof/>
                <w:webHidden/>
              </w:rPr>
              <w:tab/>
            </w:r>
            <w:r>
              <w:rPr>
                <w:noProof/>
                <w:webHidden/>
              </w:rPr>
              <w:fldChar w:fldCharType="begin"/>
            </w:r>
            <w:r>
              <w:rPr>
                <w:noProof/>
                <w:webHidden/>
              </w:rPr>
              <w:instrText xml:space="preserve"> PAGEREF _Toc189226051 \h </w:instrText>
            </w:r>
            <w:r>
              <w:rPr>
                <w:noProof/>
                <w:webHidden/>
              </w:rPr>
            </w:r>
            <w:r>
              <w:rPr>
                <w:noProof/>
                <w:webHidden/>
              </w:rPr>
              <w:fldChar w:fldCharType="separate"/>
            </w:r>
            <w:r>
              <w:rPr>
                <w:noProof/>
                <w:webHidden/>
              </w:rPr>
              <w:t>14</w:t>
            </w:r>
            <w:r>
              <w:rPr>
                <w:noProof/>
                <w:webHidden/>
              </w:rPr>
              <w:fldChar w:fldCharType="end"/>
            </w:r>
          </w:hyperlink>
        </w:p>
        <w:p w14:paraId="4996B2DB" w14:textId="052E543B" w:rsidR="0096725D" w:rsidRDefault="0096725D">
          <w:pPr>
            <w:pStyle w:val="Spistreci1"/>
            <w:tabs>
              <w:tab w:val="right" w:leader="dot" w:pos="13856"/>
            </w:tabs>
            <w:rPr>
              <w:rFonts w:eastAsiaTheme="minorEastAsia"/>
              <w:noProof/>
              <w:lang w:eastAsia="pl-PL"/>
            </w:rPr>
          </w:pPr>
          <w:hyperlink w:anchor="_Toc189226052" w:history="1">
            <w:r w:rsidRPr="00802FBC">
              <w:rPr>
                <w:rStyle w:val="Hipercze"/>
                <w:noProof/>
              </w:rPr>
              <w:t>Ocena i rekrutacja naukowców, postęp w karierze</w:t>
            </w:r>
            <w:r>
              <w:rPr>
                <w:noProof/>
                <w:webHidden/>
              </w:rPr>
              <w:tab/>
            </w:r>
            <w:r>
              <w:rPr>
                <w:noProof/>
                <w:webHidden/>
              </w:rPr>
              <w:fldChar w:fldCharType="begin"/>
            </w:r>
            <w:r>
              <w:rPr>
                <w:noProof/>
                <w:webHidden/>
              </w:rPr>
              <w:instrText xml:space="preserve"> PAGEREF _Toc189226052 \h </w:instrText>
            </w:r>
            <w:r>
              <w:rPr>
                <w:noProof/>
                <w:webHidden/>
              </w:rPr>
            </w:r>
            <w:r>
              <w:rPr>
                <w:noProof/>
                <w:webHidden/>
              </w:rPr>
              <w:fldChar w:fldCharType="separate"/>
            </w:r>
            <w:r>
              <w:rPr>
                <w:noProof/>
                <w:webHidden/>
              </w:rPr>
              <w:t>14</w:t>
            </w:r>
            <w:r>
              <w:rPr>
                <w:noProof/>
                <w:webHidden/>
              </w:rPr>
              <w:fldChar w:fldCharType="end"/>
            </w:r>
          </w:hyperlink>
        </w:p>
        <w:p w14:paraId="35586595" w14:textId="655C8648" w:rsidR="0096725D" w:rsidRDefault="0096725D">
          <w:pPr>
            <w:pStyle w:val="Spistreci2"/>
            <w:tabs>
              <w:tab w:val="left" w:pos="660"/>
              <w:tab w:val="right" w:leader="dot" w:pos="13856"/>
            </w:tabs>
            <w:rPr>
              <w:rFonts w:eastAsiaTheme="minorEastAsia"/>
              <w:noProof/>
              <w:lang w:eastAsia="pl-PL"/>
            </w:rPr>
          </w:pPr>
          <w:hyperlink w:anchor="_Toc189226053" w:history="1">
            <w:r w:rsidRPr="00802FBC">
              <w:rPr>
                <w:rStyle w:val="Hipercze"/>
                <w:noProof/>
              </w:rPr>
              <w:t>1.</w:t>
            </w:r>
            <w:r>
              <w:rPr>
                <w:rFonts w:eastAsiaTheme="minorEastAsia"/>
                <w:noProof/>
                <w:lang w:eastAsia="pl-PL"/>
              </w:rPr>
              <w:tab/>
            </w:r>
            <w:r w:rsidRPr="00802FBC">
              <w:rPr>
                <w:rStyle w:val="Hipercze"/>
                <w:noProof/>
              </w:rPr>
              <w:t>Ocena naukowców</w:t>
            </w:r>
            <w:r>
              <w:rPr>
                <w:noProof/>
                <w:webHidden/>
              </w:rPr>
              <w:tab/>
            </w:r>
            <w:r>
              <w:rPr>
                <w:noProof/>
                <w:webHidden/>
              </w:rPr>
              <w:fldChar w:fldCharType="begin"/>
            </w:r>
            <w:r>
              <w:rPr>
                <w:noProof/>
                <w:webHidden/>
              </w:rPr>
              <w:instrText xml:space="preserve"> PAGEREF _Toc189226053 \h </w:instrText>
            </w:r>
            <w:r>
              <w:rPr>
                <w:noProof/>
                <w:webHidden/>
              </w:rPr>
            </w:r>
            <w:r>
              <w:rPr>
                <w:noProof/>
                <w:webHidden/>
              </w:rPr>
              <w:fldChar w:fldCharType="separate"/>
            </w:r>
            <w:r>
              <w:rPr>
                <w:noProof/>
                <w:webHidden/>
              </w:rPr>
              <w:t>14</w:t>
            </w:r>
            <w:r>
              <w:rPr>
                <w:noProof/>
                <w:webHidden/>
              </w:rPr>
              <w:fldChar w:fldCharType="end"/>
            </w:r>
          </w:hyperlink>
        </w:p>
        <w:p w14:paraId="1B3DDFCB" w14:textId="17DF5B01" w:rsidR="0096725D" w:rsidRDefault="0096725D">
          <w:pPr>
            <w:pStyle w:val="Spistreci2"/>
            <w:tabs>
              <w:tab w:val="left" w:pos="660"/>
              <w:tab w:val="right" w:leader="dot" w:pos="13856"/>
            </w:tabs>
            <w:rPr>
              <w:rFonts w:eastAsiaTheme="minorEastAsia"/>
              <w:noProof/>
              <w:lang w:eastAsia="pl-PL"/>
            </w:rPr>
          </w:pPr>
          <w:hyperlink w:anchor="_Toc189226054" w:history="1">
            <w:r w:rsidRPr="00802FBC">
              <w:rPr>
                <w:rStyle w:val="Hipercze"/>
                <w:noProof/>
              </w:rPr>
              <w:t>2.</w:t>
            </w:r>
            <w:r>
              <w:rPr>
                <w:rFonts w:eastAsiaTheme="minorEastAsia"/>
                <w:noProof/>
                <w:lang w:eastAsia="pl-PL"/>
              </w:rPr>
              <w:tab/>
            </w:r>
            <w:r w:rsidRPr="00802FBC">
              <w:rPr>
                <w:rStyle w:val="Hipercze"/>
                <w:noProof/>
              </w:rPr>
              <w:t>Rekrutacja</w:t>
            </w:r>
            <w:r>
              <w:rPr>
                <w:noProof/>
                <w:webHidden/>
              </w:rPr>
              <w:tab/>
            </w:r>
            <w:r>
              <w:rPr>
                <w:noProof/>
                <w:webHidden/>
              </w:rPr>
              <w:fldChar w:fldCharType="begin"/>
            </w:r>
            <w:r>
              <w:rPr>
                <w:noProof/>
                <w:webHidden/>
              </w:rPr>
              <w:instrText xml:space="preserve"> PAGEREF _Toc189226054 \h </w:instrText>
            </w:r>
            <w:r>
              <w:rPr>
                <w:noProof/>
                <w:webHidden/>
              </w:rPr>
            </w:r>
            <w:r>
              <w:rPr>
                <w:noProof/>
                <w:webHidden/>
              </w:rPr>
              <w:fldChar w:fldCharType="separate"/>
            </w:r>
            <w:r>
              <w:rPr>
                <w:noProof/>
                <w:webHidden/>
              </w:rPr>
              <w:t>15</w:t>
            </w:r>
            <w:r>
              <w:rPr>
                <w:noProof/>
                <w:webHidden/>
              </w:rPr>
              <w:fldChar w:fldCharType="end"/>
            </w:r>
          </w:hyperlink>
        </w:p>
        <w:p w14:paraId="2FBF4058" w14:textId="55E7302A" w:rsidR="0096725D" w:rsidRDefault="0096725D">
          <w:pPr>
            <w:pStyle w:val="Spistreci2"/>
            <w:tabs>
              <w:tab w:val="left" w:pos="660"/>
              <w:tab w:val="right" w:leader="dot" w:pos="13856"/>
            </w:tabs>
            <w:rPr>
              <w:rFonts w:eastAsiaTheme="minorEastAsia"/>
              <w:noProof/>
              <w:lang w:eastAsia="pl-PL"/>
            </w:rPr>
          </w:pPr>
          <w:hyperlink w:anchor="_Toc189226055" w:history="1">
            <w:r w:rsidRPr="00802FBC">
              <w:rPr>
                <w:rStyle w:val="Hipercze"/>
                <w:noProof/>
              </w:rPr>
              <w:t>3.</w:t>
            </w:r>
            <w:r>
              <w:rPr>
                <w:rFonts w:eastAsiaTheme="minorEastAsia"/>
                <w:noProof/>
                <w:lang w:eastAsia="pl-PL"/>
              </w:rPr>
              <w:tab/>
            </w:r>
            <w:r w:rsidRPr="00802FBC">
              <w:rPr>
                <w:rStyle w:val="Hipercze"/>
                <w:noProof/>
              </w:rPr>
              <w:t>Dobór kadr</w:t>
            </w:r>
            <w:r>
              <w:rPr>
                <w:noProof/>
                <w:webHidden/>
              </w:rPr>
              <w:tab/>
            </w:r>
            <w:r>
              <w:rPr>
                <w:noProof/>
                <w:webHidden/>
              </w:rPr>
              <w:fldChar w:fldCharType="begin"/>
            </w:r>
            <w:r>
              <w:rPr>
                <w:noProof/>
                <w:webHidden/>
              </w:rPr>
              <w:instrText xml:space="preserve"> PAGEREF _Toc189226055 \h </w:instrText>
            </w:r>
            <w:r>
              <w:rPr>
                <w:noProof/>
                <w:webHidden/>
              </w:rPr>
            </w:r>
            <w:r>
              <w:rPr>
                <w:noProof/>
                <w:webHidden/>
              </w:rPr>
              <w:fldChar w:fldCharType="separate"/>
            </w:r>
            <w:r>
              <w:rPr>
                <w:noProof/>
                <w:webHidden/>
              </w:rPr>
              <w:t>15</w:t>
            </w:r>
            <w:r>
              <w:rPr>
                <w:noProof/>
                <w:webHidden/>
              </w:rPr>
              <w:fldChar w:fldCharType="end"/>
            </w:r>
          </w:hyperlink>
        </w:p>
        <w:p w14:paraId="57144264" w14:textId="6CBD50AE" w:rsidR="0096725D" w:rsidRDefault="0096725D">
          <w:pPr>
            <w:pStyle w:val="Spistreci2"/>
            <w:tabs>
              <w:tab w:val="left" w:pos="660"/>
              <w:tab w:val="right" w:leader="dot" w:pos="13856"/>
            </w:tabs>
            <w:rPr>
              <w:rFonts w:eastAsiaTheme="minorEastAsia"/>
              <w:noProof/>
              <w:lang w:eastAsia="pl-PL"/>
            </w:rPr>
          </w:pPr>
          <w:hyperlink w:anchor="_Toc189226056" w:history="1">
            <w:r w:rsidRPr="00802FBC">
              <w:rPr>
                <w:rStyle w:val="Hipercze"/>
                <w:noProof/>
              </w:rPr>
              <w:t>4.</w:t>
            </w:r>
            <w:r>
              <w:rPr>
                <w:rFonts w:eastAsiaTheme="minorEastAsia"/>
                <w:noProof/>
                <w:lang w:eastAsia="pl-PL"/>
              </w:rPr>
              <w:tab/>
            </w:r>
            <w:r w:rsidRPr="00802FBC">
              <w:rPr>
                <w:rStyle w:val="Hipercze"/>
                <w:noProof/>
              </w:rPr>
              <w:t>Niedyskryminacja</w:t>
            </w:r>
            <w:r>
              <w:rPr>
                <w:noProof/>
                <w:webHidden/>
              </w:rPr>
              <w:tab/>
            </w:r>
            <w:r>
              <w:rPr>
                <w:noProof/>
                <w:webHidden/>
              </w:rPr>
              <w:fldChar w:fldCharType="begin"/>
            </w:r>
            <w:r>
              <w:rPr>
                <w:noProof/>
                <w:webHidden/>
              </w:rPr>
              <w:instrText xml:space="preserve"> PAGEREF _Toc189226056 \h </w:instrText>
            </w:r>
            <w:r>
              <w:rPr>
                <w:noProof/>
                <w:webHidden/>
              </w:rPr>
            </w:r>
            <w:r>
              <w:rPr>
                <w:noProof/>
                <w:webHidden/>
              </w:rPr>
              <w:fldChar w:fldCharType="separate"/>
            </w:r>
            <w:r>
              <w:rPr>
                <w:noProof/>
                <w:webHidden/>
              </w:rPr>
              <w:t>15</w:t>
            </w:r>
            <w:r>
              <w:rPr>
                <w:noProof/>
                <w:webHidden/>
              </w:rPr>
              <w:fldChar w:fldCharType="end"/>
            </w:r>
          </w:hyperlink>
        </w:p>
        <w:p w14:paraId="3F43C8AD" w14:textId="0282C019" w:rsidR="0096725D" w:rsidRDefault="0096725D">
          <w:pPr>
            <w:pStyle w:val="Spistreci2"/>
            <w:tabs>
              <w:tab w:val="left" w:pos="660"/>
              <w:tab w:val="right" w:leader="dot" w:pos="13856"/>
            </w:tabs>
            <w:rPr>
              <w:rFonts w:eastAsiaTheme="minorEastAsia"/>
              <w:noProof/>
              <w:lang w:eastAsia="pl-PL"/>
            </w:rPr>
          </w:pPr>
          <w:hyperlink w:anchor="_Toc189226057" w:history="1">
            <w:r w:rsidRPr="00802FBC">
              <w:rPr>
                <w:rStyle w:val="Hipercze"/>
                <w:noProof/>
              </w:rPr>
              <w:t>5.</w:t>
            </w:r>
            <w:r>
              <w:rPr>
                <w:rFonts w:eastAsiaTheme="minorEastAsia"/>
                <w:noProof/>
                <w:lang w:eastAsia="pl-PL"/>
              </w:rPr>
              <w:tab/>
            </w:r>
            <w:r w:rsidRPr="00802FBC">
              <w:rPr>
                <w:rStyle w:val="Hipercze"/>
                <w:noProof/>
              </w:rPr>
              <w:t>Rozwój kariery</w:t>
            </w:r>
            <w:r>
              <w:rPr>
                <w:noProof/>
                <w:webHidden/>
              </w:rPr>
              <w:tab/>
            </w:r>
            <w:r>
              <w:rPr>
                <w:noProof/>
                <w:webHidden/>
              </w:rPr>
              <w:fldChar w:fldCharType="begin"/>
            </w:r>
            <w:r>
              <w:rPr>
                <w:noProof/>
                <w:webHidden/>
              </w:rPr>
              <w:instrText xml:space="preserve"> PAGEREF _Toc189226057 \h </w:instrText>
            </w:r>
            <w:r>
              <w:rPr>
                <w:noProof/>
                <w:webHidden/>
              </w:rPr>
            </w:r>
            <w:r>
              <w:rPr>
                <w:noProof/>
                <w:webHidden/>
              </w:rPr>
              <w:fldChar w:fldCharType="separate"/>
            </w:r>
            <w:r>
              <w:rPr>
                <w:noProof/>
                <w:webHidden/>
              </w:rPr>
              <w:t>16</w:t>
            </w:r>
            <w:r>
              <w:rPr>
                <w:noProof/>
                <w:webHidden/>
              </w:rPr>
              <w:fldChar w:fldCharType="end"/>
            </w:r>
          </w:hyperlink>
        </w:p>
        <w:p w14:paraId="2676603A" w14:textId="4CED3042" w:rsidR="0096725D" w:rsidRDefault="0096725D">
          <w:pPr>
            <w:pStyle w:val="Spistreci2"/>
            <w:tabs>
              <w:tab w:val="left" w:pos="660"/>
              <w:tab w:val="right" w:leader="dot" w:pos="13856"/>
            </w:tabs>
            <w:rPr>
              <w:rFonts w:eastAsiaTheme="minorEastAsia"/>
              <w:noProof/>
              <w:lang w:eastAsia="pl-PL"/>
            </w:rPr>
          </w:pPr>
          <w:hyperlink w:anchor="_Toc189226058" w:history="1">
            <w:r w:rsidRPr="00802FBC">
              <w:rPr>
                <w:rStyle w:val="Hipercze"/>
                <w:noProof/>
              </w:rPr>
              <w:t>6.</w:t>
            </w:r>
            <w:r>
              <w:rPr>
                <w:rFonts w:eastAsiaTheme="minorEastAsia"/>
                <w:noProof/>
                <w:lang w:eastAsia="pl-PL"/>
              </w:rPr>
              <w:tab/>
            </w:r>
            <w:r w:rsidRPr="00802FBC">
              <w:rPr>
                <w:rStyle w:val="Hipercze"/>
                <w:noProof/>
              </w:rPr>
              <w:t>Współautorstwo</w:t>
            </w:r>
            <w:r>
              <w:rPr>
                <w:noProof/>
                <w:webHidden/>
              </w:rPr>
              <w:tab/>
            </w:r>
            <w:r>
              <w:rPr>
                <w:noProof/>
                <w:webHidden/>
              </w:rPr>
              <w:fldChar w:fldCharType="begin"/>
            </w:r>
            <w:r>
              <w:rPr>
                <w:noProof/>
                <w:webHidden/>
              </w:rPr>
              <w:instrText xml:space="preserve"> PAGEREF _Toc189226058 \h </w:instrText>
            </w:r>
            <w:r>
              <w:rPr>
                <w:noProof/>
                <w:webHidden/>
              </w:rPr>
            </w:r>
            <w:r>
              <w:rPr>
                <w:noProof/>
                <w:webHidden/>
              </w:rPr>
              <w:fldChar w:fldCharType="separate"/>
            </w:r>
            <w:r>
              <w:rPr>
                <w:noProof/>
                <w:webHidden/>
              </w:rPr>
              <w:t>16</w:t>
            </w:r>
            <w:r>
              <w:rPr>
                <w:noProof/>
                <w:webHidden/>
              </w:rPr>
              <w:fldChar w:fldCharType="end"/>
            </w:r>
          </w:hyperlink>
        </w:p>
        <w:p w14:paraId="26566092" w14:textId="349AB4A7" w:rsidR="0096725D" w:rsidRDefault="0096725D">
          <w:pPr>
            <w:pStyle w:val="Spistreci2"/>
            <w:tabs>
              <w:tab w:val="left" w:pos="660"/>
              <w:tab w:val="right" w:leader="dot" w:pos="13856"/>
            </w:tabs>
            <w:rPr>
              <w:rFonts w:eastAsiaTheme="minorEastAsia"/>
              <w:noProof/>
              <w:lang w:eastAsia="pl-PL"/>
            </w:rPr>
          </w:pPr>
          <w:hyperlink w:anchor="_Toc189226059" w:history="1">
            <w:r w:rsidRPr="00802FBC">
              <w:rPr>
                <w:rStyle w:val="Hipercze"/>
                <w:noProof/>
              </w:rPr>
              <w:t>7.</w:t>
            </w:r>
            <w:r>
              <w:rPr>
                <w:rFonts w:eastAsiaTheme="minorEastAsia"/>
                <w:noProof/>
                <w:lang w:eastAsia="pl-PL"/>
              </w:rPr>
              <w:tab/>
            </w:r>
            <w:r w:rsidRPr="00802FBC">
              <w:rPr>
                <w:rStyle w:val="Hipercze"/>
                <w:noProof/>
              </w:rPr>
              <w:t>Uznawanie doświadczenia w zakresie mobilności</w:t>
            </w:r>
            <w:r>
              <w:rPr>
                <w:noProof/>
                <w:webHidden/>
              </w:rPr>
              <w:tab/>
            </w:r>
            <w:r>
              <w:rPr>
                <w:noProof/>
                <w:webHidden/>
              </w:rPr>
              <w:fldChar w:fldCharType="begin"/>
            </w:r>
            <w:r>
              <w:rPr>
                <w:noProof/>
                <w:webHidden/>
              </w:rPr>
              <w:instrText xml:space="preserve"> PAGEREF _Toc189226059 \h </w:instrText>
            </w:r>
            <w:r>
              <w:rPr>
                <w:noProof/>
                <w:webHidden/>
              </w:rPr>
            </w:r>
            <w:r>
              <w:rPr>
                <w:noProof/>
                <w:webHidden/>
              </w:rPr>
              <w:fldChar w:fldCharType="separate"/>
            </w:r>
            <w:r>
              <w:rPr>
                <w:noProof/>
                <w:webHidden/>
              </w:rPr>
              <w:t>16</w:t>
            </w:r>
            <w:r>
              <w:rPr>
                <w:noProof/>
                <w:webHidden/>
              </w:rPr>
              <w:fldChar w:fldCharType="end"/>
            </w:r>
          </w:hyperlink>
        </w:p>
        <w:p w14:paraId="5AC39029" w14:textId="271BE413" w:rsidR="0096725D" w:rsidRDefault="0096725D">
          <w:pPr>
            <w:pStyle w:val="Spistreci1"/>
            <w:tabs>
              <w:tab w:val="right" w:leader="dot" w:pos="13856"/>
            </w:tabs>
            <w:rPr>
              <w:rFonts w:eastAsiaTheme="minorEastAsia"/>
              <w:noProof/>
              <w:lang w:eastAsia="pl-PL"/>
            </w:rPr>
          </w:pPr>
          <w:hyperlink w:anchor="_Toc189226060" w:history="1">
            <w:r w:rsidRPr="00802FBC">
              <w:rPr>
                <w:rStyle w:val="Hipercze"/>
                <w:noProof/>
              </w:rPr>
              <w:t>3 FILAR</w:t>
            </w:r>
            <w:r>
              <w:rPr>
                <w:noProof/>
                <w:webHidden/>
              </w:rPr>
              <w:tab/>
            </w:r>
            <w:r>
              <w:rPr>
                <w:noProof/>
                <w:webHidden/>
              </w:rPr>
              <w:fldChar w:fldCharType="begin"/>
            </w:r>
            <w:r>
              <w:rPr>
                <w:noProof/>
                <w:webHidden/>
              </w:rPr>
              <w:instrText xml:space="preserve"> PAGEREF _Toc189226060 \h </w:instrText>
            </w:r>
            <w:r>
              <w:rPr>
                <w:noProof/>
                <w:webHidden/>
              </w:rPr>
            </w:r>
            <w:r>
              <w:rPr>
                <w:noProof/>
                <w:webHidden/>
              </w:rPr>
              <w:fldChar w:fldCharType="separate"/>
            </w:r>
            <w:r>
              <w:rPr>
                <w:noProof/>
                <w:webHidden/>
              </w:rPr>
              <w:t>17</w:t>
            </w:r>
            <w:r>
              <w:rPr>
                <w:noProof/>
                <w:webHidden/>
              </w:rPr>
              <w:fldChar w:fldCharType="end"/>
            </w:r>
          </w:hyperlink>
        </w:p>
        <w:p w14:paraId="1B7E6DE8" w14:textId="063E6F08" w:rsidR="0096725D" w:rsidRDefault="0096725D">
          <w:pPr>
            <w:pStyle w:val="Spistreci1"/>
            <w:tabs>
              <w:tab w:val="right" w:leader="dot" w:pos="13856"/>
            </w:tabs>
            <w:rPr>
              <w:rFonts w:eastAsiaTheme="minorEastAsia"/>
              <w:noProof/>
              <w:lang w:eastAsia="pl-PL"/>
            </w:rPr>
          </w:pPr>
          <w:hyperlink w:anchor="_Toc189226061" w:history="1">
            <w:r w:rsidRPr="00802FBC">
              <w:rPr>
                <w:rStyle w:val="Hipercze"/>
                <w:noProof/>
              </w:rPr>
              <w:t>Warunki pracy i praktyki</w:t>
            </w:r>
            <w:r>
              <w:rPr>
                <w:noProof/>
                <w:webHidden/>
              </w:rPr>
              <w:tab/>
            </w:r>
            <w:r>
              <w:rPr>
                <w:noProof/>
                <w:webHidden/>
              </w:rPr>
              <w:fldChar w:fldCharType="begin"/>
            </w:r>
            <w:r>
              <w:rPr>
                <w:noProof/>
                <w:webHidden/>
              </w:rPr>
              <w:instrText xml:space="preserve"> PAGEREF _Toc189226061 \h </w:instrText>
            </w:r>
            <w:r>
              <w:rPr>
                <w:noProof/>
                <w:webHidden/>
              </w:rPr>
            </w:r>
            <w:r>
              <w:rPr>
                <w:noProof/>
                <w:webHidden/>
              </w:rPr>
              <w:fldChar w:fldCharType="separate"/>
            </w:r>
            <w:r>
              <w:rPr>
                <w:noProof/>
                <w:webHidden/>
              </w:rPr>
              <w:t>17</w:t>
            </w:r>
            <w:r>
              <w:rPr>
                <w:noProof/>
                <w:webHidden/>
              </w:rPr>
              <w:fldChar w:fldCharType="end"/>
            </w:r>
          </w:hyperlink>
        </w:p>
        <w:p w14:paraId="5C4B1E2B" w14:textId="0BFDFAEB" w:rsidR="0096725D" w:rsidRDefault="0096725D">
          <w:pPr>
            <w:pStyle w:val="Spistreci2"/>
            <w:tabs>
              <w:tab w:val="left" w:pos="660"/>
              <w:tab w:val="right" w:leader="dot" w:pos="13856"/>
            </w:tabs>
            <w:rPr>
              <w:rFonts w:eastAsiaTheme="minorEastAsia"/>
              <w:noProof/>
              <w:lang w:eastAsia="pl-PL"/>
            </w:rPr>
          </w:pPr>
          <w:hyperlink w:anchor="_Toc189226062" w:history="1">
            <w:r w:rsidRPr="00802FBC">
              <w:rPr>
                <w:rStyle w:val="Hipercze"/>
                <w:noProof/>
              </w:rPr>
              <w:t>1.</w:t>
            </w:r>
            <w:r>
              <w:rPr>
                <w:rFonts w:eastAsiaTheme="minorEastAsia"/>
                <w:noProof/>
                <w:lang w:eastAsia="pl-PL"/>
              </w:rPr>
              <w:tab/>
            </w:r>
            <w:r w:rsidRPr="00802FBC">
              <w:rPr>
                <w:rStyle w:val="Hipercze"/>
                <w:noProof/>
              </w:rPr>
              <w:t>Warunki pracy, finansowanie i wynagrodzenie</w:t>
            </w:r>
            <w:r>
              <w:rPr>
                <w:noProof/>
                <w:webHidden/>
              </w:rPr>
              <w:tab/>
            </w:r>
            <w:r>
              <w:rPr>
                <w:noProof/>
                <w:webHidden/>
              </w:rPr>
              <w:fldChar w:fldCharType="begin"/>
            </w:r>
            <w:r>
              <w:rPr>
                <w:noProof/>
                <w:webHidden/>
              </w:rPr>
              <w:instrText xml:space="preserve"> PAGEREF _Toc189226062 \h </w:instrText>
            </w:r>
            <w:r>
              <w:rPr>
                <w:noProof/>
                <w:webHidden/>
              </w:rPr>
            </w:r>
            <w:r>
              <w:rPr>
                <w:noProof/>
                <w:webHidden/>
              </w:rPr>
              <w:fldChar w:fldCharType="separate"/>
            </w:r>
            <w:r>
              <w:rPr>
                <w:noProof/>
                <w:webHidden/>
              </w:rPr>
              <w:t>17</w:t>
            </w:r>
            <w:r>
              <w:rPr>
                <w:noProof/>
                <w:webHidden/>
              </w:rPr>
              <w:fldChar w:fldCharType="end"/>
            </w:r>
          </w:hyperlink>
        </w:p>
        <w:p w14:paraId="48D13D00" w14:textId="4B180F6A" w:rsidR="0096725D" w:rsidRDefault="0096725D">
          <w:pPr>
            <w:pStyle w:val="Spistreci2"/>
            <w:tabs>
              <w:tab w:val="left" w:pos="660"/>
              <w:tab w:val="right" w:leader="dot" w:pos="13856"/>
            </w:tabs>
            <w:rPr>
              <w:rFonts w:eastAsiaTheme="minorEastAsia"/>
              <w:noProof/>
              <w:lang w:eastAsia="pl-PL"/>
            </w:rPr>
          </w:pPr>
          <w:hyperlink w:anchor="_Toc189226063" w:history="1">
            <w:r w:rsidRPr="00802FBC">
              <w:rPr>
                <w:rStyle w:val="Hipercze"/>
                <w:noProof/>
              </w:rPr>
              <w:t>2.</w:t>
            </w:r>
            <w:r>
              <w:rPr>
                <w:rFonts w:eastAsiaTheme="minorEastAsia"/>
                <w:noProof/>
                <w:lang w:eastAsia="pl-PL"/>
              </w:rPr>
              <w:tab/>
            </w:r>
            <w:r w:rsidRPr="00802FBC">
              <w:rPr>
                <w:rStyle w:val="Hipercze"/>
                <w:noProof/>
              </w:rPr>
              <w:t>Stabilność zatrudnienia</w:t>
            </w:r>
            <w:r>
              <w:rPr>
                <w:noProof/>
                <w:webHidden/>
              </w:rPr>
              <w:tab/>
            </w:r>
            <w:r>
              <w:rPr>
                <w:noProof/>
                <w:webHidden/>
              </w:rPr>
              <w:fldChar w:fldCharType="begin"/>
            </w:r>
            <w:r>
              <w:rPr>
                <w:noProof/>
                <w:webHidden/>
              </w:rPr>
              <w:instrText xml:space="preserve"> PAGEREF _Toc189226063 \h </w:instrText>
            </w:r>
            <w:r>
              <w:rPr>
                <w:noProof/>
                <w:webHidden/>
              </w:rPr>
            </w:r>
            <w:r>
              <w:rPr>
                <w:noProof/>
                <w:webHidden/>
              </w:rPr>
              <w:fldChar w:fldCharType="separate"/>
            </w:r>
            <w:r>
              <w:rPr>
                <w:noProof/>
                <w:webHidden/>
              </w:rPr>
              <w:t>18</w:t>
            </w:r>
            <w:r>
              <w:rPr>
                <w:noProof/>
                <w:webHidden/>
              </w:rPr>
              <w:fldChar w:fldCharType="end"/>
            </w:r>
          </w:hyperlink>
        </w:p>
        <w:p w14:paraId="1E1DF9A0" w14:textId="324B92AB" w:rsidR="0096725D" w:rsidRDefault="0096725D">
          <w:pPr>
            <w:pStyle w:val="Spistreci1"/>
            <w:tabs>
              <w:tab w:val="right" w:leader="dot" w:pos="13856"/>
            </w:tabs>
            <w:rPr>
              <w:rFonts w:eastAsiaTheme="minorEastAsia"/>
              <w:noProof/>
              <w:lang w:eastAsia="pl-PL"/>
            </w:rPr>
          </w:pPr>
          <w:hyperlink w:anchor="_Toc189226064" w:history="1">
            <w:r w:rsidRPr="00802FBC">
              <w:rPr>
                <w:rStyle w:val="Hipercze"/>
                <w:noProof/>
              </w:rPr>
              <w:t>4 FILAR</w:t>
            </w:r>
            <w:r>
              <w:rPr>
                <w:noProof/>
                <w:webHidden/>
              </w:rPr>
              <w:tab/>
            </w:r>
            <w:r>
              <w:rPr>
                <w:noProof/>
                <w:webHidden/>
              </w:rPr>
              <w:fldChar w:fldCharType="begin"/>
            </w:r>
            <w:r>
              <w:rPr>
                <w:noProof/>
                <w:webHidden/>
              </w:rPr>
              <w:instrText xml:space="preserve"> PAGEREF _Toc189226064 \h </w:instrText>
            </w:r>
            <w:r>
              <w:rPr>
                <w:noProof/>
                <w:webHidden/>
              </w:rPr>
            </w:r>
            <w:r>
              <w:rPr>
                <w:noProof/>
                <w:webHidden/>
              </w:rPr>
              <w:fldChar w:fldCharType="separate"/>
            </w:r>
            <w:r>
              <w:rPr>
                <w:noProof/>
                <w:webHidden/>
              </w:rPr>
              <w:t>20</w:t>
            </w:r>
            <w:r>
              <w:rPr>
                <w:noProof/>
                <w:webHidden/>
              </w:rPr>
              <w:fldChar w:fldCharType="end"/>
            </w:r>
          </w:hyperlink>
        </w:p>
        <w:p w14:paraId="7EFE33AE" w14:textId="24181112" w:rsidR="0096725D" w:rsidRDefault="0096725D">
          <w:pPr>
            <w:pStyle w:val="Spistreci1"/>
            <w:tabs>
              <w:tab w:val="right" w:leader="dot" w:pos="13856"/>
            </w:tabs>
            <w:rPr>
              <w:rFonts w:eastAsiaTheme="minorEastAsia"/>
              <w:noProof/>
              <w:lang w:eastAsia="pl-PL"/>
            </w:rPr>
          </w:pPr>
          <w:hyperlink w:anchor="_Toc189226065" w:history="1">
            <w:r w:rsidRPr="00802FBC">
              <w:rPr>
                <w:rStyle w:val="Hipercze"/>
                <w:noProof/>
              </w:rPr>
              <w:t>Kariera naukowa i rozwój talentów</w:t>
            </w:r>
            <w:r>
              <w:rPr>
                <w:noProof/>
                <w:webHidden/>
              </w:rPr>
              <w:tab/>
            </w:r>
            <w:r>
              <w:rPr>
                <w:noProof/>
                <w:webHidden/>
              </w:rPr>
              <w:fldChar w:fldCharType="begin"/>
            </w:r>
            <w:r>
              <w:rPr>
                <w:noProof/>
                <w:webHidden/>
              </w:rPr>
              <w:instrText xml:space="preserve"> PAGEREF _Toc189226065 \h </w:instrText>
            </w:r>
            <w:r>
              <w:rPr>
                <w:noProof/>
                <w:webHidden/>
              </w:rPr>
            </w:r>
            <w:r>
              <w:rPr>
                <w:noProof/>
                <w:webHidden/>
              </w:rPr>
              <w:fldChar w:fldCharType="separate"/>
            </w:r>
            <w:r>
              <w:rPr>
                <w:noProof/>
                <w:webHidden/>
              </w:rPr>
              <w:t>20</w:t>
            </w:r>
            <w:r>
              <w:rPr>
                <w:noProof/>
                <w:webHidden/>
              </w:rPr>
              <w:fldChar w:fldCharType="end"/>
            </w:r>
          </w:hyperlink>
        </w:p>
        <w:p w14:paraId="7911A221" w14:textId="439D3381" w:rsidR="0096725D" w:rsidRDefault="0096725D">
          <w:pPr>
            <w:pStyle w:val="Spistreci2"/>
            <w:tabs>
              <w:tab w:val="left" w:pos="660"/>
              <w:tab w:val="right" w:leader="dot" w:pos="13856"/>
            </w:tabs>
            <w:rPr>
              <w:rFonts w:eastAsiaTheme="minorEastAsia"/>
              <w:noProof/>
              <w:lang w:eastAsia="pl-PL"/>
            </w:rPr>
          </w:pPr>
          <w:hyperlink w:anchor="_Toc189226066" w:history="1">
            <w:r w:rsidRPr="00802FBC">
              <w:rPr>
                <w:rStyle w:val="Hipercze"/>
                <w:noProof/>
              </w:rPr>
              <w:t>1.</w:t>
            </w:r>
            <w:r>
              <w:rPr>
                <w:rFonts w:eastAsiaTheme="minorEastAsia"/>
                <w:noProof/>
                <w:lang w:eastAsia="pl-PL"/>
              </w:rPr>
              <w:tab/>
            </w:r>
            <w:r w:rsidRPr="00802FBC">
              <w:rPr>
                <w:rStyle w:val="Hipercze"/>
                <w:noProof/>
              </w:rPr>
              <w:t>Ocena różnorodnych karier naukowych</w:t>
            </w:r>
            <w:r>
              <w:rPr>
                <w:noProof/>
                <w:webHidden/>
              </w:rPr>
              <w:tab/>
            </w:r>
            <w:r>
              <w:rPr>
                <w:noProof/>
                <w:webHidden/>
              </w:rPr>
              <w:fldChar w:fldCharType="begin"/>
            </w:r>
            <w:r>
              <w:rPr>
                <w:noProof/>
                <w:webHidden/>
              </w:rPr>
              <w:instrText xml:space="preserve"> PAGEREF _Toc189226066 \h </w:instrText>
            </w:r>
            <w:r>
              <w:rPr>
                <w:noProof/>
                <w:webHidden/>
              </w:rPr>
            </w:r>
            <w:r>
              <w:rPr>
                <w:noProof/>
                <w:webHidden/>
              </w:rPr>
              <w:fldChar w:fldCharType="separate"/>
            </w:r>
            <w:r>
              <w:rPr>
                <w:noProof/>
                <w:webHidden/>
              </w:rPr>
              <w:t>20</w:t>
            </w:r>
            <w:r>
              <w:rPr>
                <w:noProof/>
                <w:webHidden/>
              </w:rPr>
              <w:fldChar w:fldCharType="end"/>
            </w:r>
          </w:hyperlink>
        </w:p>
        <w:p w14:paraId="3485B903" w14:textId="0F1EBE99" w:rsidR="0096725D" w:rsidRDefault="0096725D">
          <w:pPr>
            <w:pStyle w:val="Spistreci2"/>
            <w:tabs>
              <w:tab w:val="left" w:pos="660"/>
              <w:tab w:val="right" w:leader="dot" w:pos="13856"/>
            </w:tabs>
            <w:rPr>
              <w:rFonts w:eastAsiaTheme="minorEastAsia"/>
              <w:noProof/>
              <w:lang w:eastAsia="pl-PL"/>
            </w:rPr>
          </w:pPr>
          <w:hyperlink w:anchor="_Toc189226067" w:history="1">
            <w:r w:rsidRPr="00802FBC">
              <w:rPr>
                <w:rStyle w:val="Hipercze"/>
                <w:noProof/>
              </w:rPr>
              <w:t>2.</w:t>
            </w:r>
            <w:r>
              <w:rPr>
                <w:rFonts w:eastAsiaTheme="minorEastAsia"/>
                <w:noProof/>
                <w:lang w:eastAsia="pl-PL"/>
              </w:rPr>
              <w:tab/>
            </w:r>
            <w:r w:rsidRPr="00802FBC">
              <w:rPr>
                <w:rStyle w:val="Hipercze"/>
                <w:noProof/>
              </w:rPr>
              <w:t>Rozwój kariery zawodowej i doradztwo zawodowe</w:t>
            </w:r>
            <w:r>
              <w:rPr>
                <w:noProof/>
                <w:webHidden/>
              </w:rPr>
              <w:tab/>
            </w:r>
            <w:r>
              <w:rPr>
                <w:noProof/>
                <w:webHidden/>
              </w:rPr>
              <w:fldChar w:fldCharType="begin"/>
            </w:r>
            <w:r>
              <w:rPr>
                <w:noProof/>
                <w:webHidden/>
              </w:rPr>
              <w:instrText xml:space="preserve"> PAGEREF _Toc189226067 \h </w:instrText>
            </w:r>
            <w:r>
              <w:rPr>
                <w:noProof/>
                <w:webHidden/>
              </w:rPr>
            </w:r>
            <w:r>
              <w:rPr>
                <w:noProof/>
                <w:webHidden/>
              </w:rPr>
              <w:fldChar w:fldCharType="separate"/>
            </w:r>
            <w:r>
              <w:rPr>
                <w:noProof/>
                <w:webHidden/>
              </w:rPr>
              <w:t>21</w:t>
            </w:r>
            <w:r>
              <w:rPr>
                <w:noProof/>
                <w:webHidden/>
              </w:rPr>
              <w:fldChar w:fldCharType="end"/>
            </w:r>
          </w:hyperlink>
        </w:p>
        <w:p w14:paraId="091766A9" w14:textId="63A42026" w:rsidR="0096725D" w:rsidRDefault="0096725D">
          <w:pPr>
            <w:pStyle w:val="Spistreci2"/>
            <w:tabs>
              <w:tab w:val="left" w:pos="660"/>
              <w:tab w:val="right" w:leader="dot" w:pos="13856"/>
            </w:tabs>
            <w:rPr>
              <w:rFonts w:eastAsiaTheme="minorEastAsia"/>
              <w:noProof/>
              <w:lang w:eastAsia="pl-PL"/>
            </w:rPr>
          </w:pPr>
          <w:hyperlink w:anchor="_Toc189226068" w:history="1">
            <w:r w:rsidRPr="00802FBC">
              <w:rPr>
                <w:rStyle w:val="Hipercze"/>
                <w:noProof/>
              </w:rPr>
              <w:t>3.</w:t>
            </w:r>
            <w:r>
              <w:rPr>
                <w:rFonts w:eastAsiaTheme="minorEastAsia"/>
                <w:noProof/>
                <w:lang w:eastAsia="pl-PL"/>
              </w:rPr>
              <w:tab/>
            </w:r>
            <w:r w:rsidRPr="00802FBC">
              <w:rPr>
                <w:rStyle w:val="Hipercze"/>
                <w:noProof/>
              </w:rPr>
              <w:t>Ustawiczny rozwój zawodowy</w:t>
            </w:r>
            <w:r>
              <w:rPr>
                <w:noProof/>
                <w:webHidden/>
              </w:rPr>
              <w:tab/>
            </w:r>
            <w:r>
              <w:rPr>
                <w:noProof/>
                <w:webHidden/>
              </w:rPr>
              <w:fldChar w:fldCharType="begin"/>
            </w:r>
            <w:r>
              <w:rPr>
                <w:noProof/>
                <w:webHidden/>
              </w:rPr>
              <w:instrText xml:space="preserve"> PAGEREF _Toc189226068 \h </w:instrText>
            </w:r>
            <w:r>
              <w:rPr>
                <w:noProof/>
                <w:webHidden/>
              </w:rPr>
            </w:r>
            <w:r>
              <w:rPr>
                <w:noProof/>
                <w:webHidden/>
              </w:rPr>
              <w:fldChar w:fldCharType="separate"/>
            </w:r>
            <w:r>
              <w:rPr>
                <w:noProof/>
                <w:webHidden/>
              </w:rPr>
              <w:t>21</w:t>
            </w:r>
            <w:r>
              <w:rPr>
                <w:noProof/>
                <w:webHidden/>
              </w:rPr>
              <w:fldChar w:fldCharType="end"/>
            </w:r>
          </w:hyperlink>
        </w:p>
        <w:p w14:paraId="61CA0835" w14:textId="3FBA34C2" w:rsidR="0096725D" w:rsidRDefault="0096725D">
          <w:pPr>
            <w:pStyle w:val="Spistreci2"/>
            <w:tabs>
              <w:tab w:val="right" w:leader="dot" w:pos="13856"/>
            </w:tabs>
            <w:rPr>
              <w:rFonts w:eastAsiaTheme="minorEastAsia"/>
              <w:noProof/>
              <w:lang w:eastAsia="pl-PL"/>
            </w:rPr>
          </w:pPr>
          <w:hyperlink w:anchor="_Toc189226069" w:history="1">
            <w:r w:rsidRPr="00802FBC">
              <w:rPr>
                <w:rStyle w:val="Hipercze"/>
                <w:noProof/>
              </w:rPr>
              <w:t>4. Nadzór naukowy i mentoring</w:t>
            </w:r>
            <w:r>
              <w:rPr>
                <w:noProof/>
                <w:webHidden/>
              </w:rPr>
              <w:tab/>
            </w:r>
            <w:r>
              <w:rPr>
                <w:noProof/>
                <w:webHidden/>
              </w:rPr>
              <w:fldChar w:fldCharType="begin"/>
            </w:r>
            <w:r>
              <w:rPr>
                <w:noProof/>
                <w:webHidden/>
              </w:rPr>
              <w:instrText xml:space="preserve"> PAGEREF _Toc189226069 \h </w:instrText>
            </w:r>
            <w:r>
              <w:rPr>
                <w:noProof/>
                <w:webHidden/>
              </w:rPr>
            </w:r>
            <w:r>
              <w:rPr>
                <w:noProof/>
                <w:webHidden/>
              </w:rPr>
              <w:fldChar w:fldCharType="separate"/>
            </w:r>
            <w:r>
              <w:rPr>
                <w:noProof/>
                <w:webHidden/>
              </w:rPr>
              <w:t>23</w:t>
            </w:r>
            <w:r>
              <w:rPr>
                <w:noProof/>
                <w:webHidden/>
              </w:rPr>
              <w:fldChar w:fldCharType="end"/>
            </w:r>
          </w:hyperlink>
        </w:p>
        <w:p w14:paraId="2BD39860" w14:textId="1EA9B68B" w:rsidR="004E4E8A" w:rsidRDefault="004E4E8A">
          <w:r>
            <w:rPr>
              <w:b/>
              <w:bCs/>
            </w:rPr>
            <w:fldChar w:fldCharType="end"/>
          </w:r>
        </w:p>
      </w:sdtContent>
    </w:sdt>
    <w:p w14:paraId="6F69C17E" w14:textId="0EE62B0F" w:rsidR="0096725D" w:rsidRDefault="0096725D">
      <w:pPr>
        <w:rPr>
          <w:rFonts w:ascii="Bahnschrift Light" w:hAnsi="Bahnschrift Light" w:cs="Calibri"/>
          <w:sz w:val="24"/>
          <w:szCs w:val="24"/>
        </w:rPr>
      </w:pPr>
      <w:r>
        <w:rPr>
          <w:rFonts w:ascii="Bahnschrift Light" w:hAnsi="Bahnschrift Light"/>
        </w:rPr>
        <w:br w:type="page"/>
      </w:r>
    </w:p>
    <w:p w14:paraId="2F0EA735" w14:textId="77777777" w:rsidR="00AE5478" w:rsidRPr="004B6B00" w:rsidRDefault="00AE5478" w:rsidP="006710C8">
      <w:pPr>
        <w:pStyle w:val="Default"/>
        <w:jc w:val="both"/>
        <w:rPr>
          <w:rFonts w:ascii="Bahnschrift Light" w:hAnsi="Bahnschrift Light"/>
          <w:color w:val="auto"/>
        </w:rPr>
      </w:pPr>
    </w:p>
    <w:p w14:paraId="29B651C1" w14:textId="54C06BD3" w:rsidR="00AE5478" w:rsidRPr="006C0A84" w:rsidRDefault="00AE5478" w:rsidP="006C0A84">
      <w:pPr>
        <w:pStyle w:val="Nagwek1"/>
      </w:pPr>
      <w:bookmarkStart w:id="0" w:name="_Toc189226030"/>
      <w:r w:rsidRPr="006C0A84">
        <w:t xml:space="preserve">1. </w:t>
      </w:r>
      <w:r w:rsidR="004334C1" w:rsidRPr="006C0A84">
        <w:t>Informacje ogólne</w:t>
      </w:r>
      <w:bookmarkEnd w:id="0"/>
    </w:p>
    <w:p w14:paraId="1A9351EE" w14:textId="01E9E5EF" w:rsidR="00AE5478" w:rsidRPr="004B6B00" w:rsidRDefault="004334C1" w:rsidP="006710C8">
      <w:pPr>
        <w:pStyle w:val="Default"/>
        <w:jc w:val="both"/>
        <w:rPr>
          <w:rFonts w:ascii="Bahnschrift Light" w:hAnsi="Bahnschrift Light"/>
          <w:color w:val="auto"/>
        </w:rPr>
      </w:pPr>
      <w:r w:rsidRPr="004B6B00">
        <w:rPr>
          <w:rFonts w:ascii="Bahnschrift Light" w:hAnsi="Bahnschrift Light"/>
          <w:color w:val="auto"/>
        </w:rPr>
        <w:t xml:space="preserve">Instytut </w:t>
      </w:r>
      <w:r w:rsidR="00B23BA2">
        <w:rPr>
          <w:rFonts w:ascii="Bahnschrift Light" w:hAnsi="Bahnschrift Light"/>
          <w:color w:val="auto"/>
        </w:rPr>
        <w:t xml:space="preserve">Nenckiego </w:t>
      </w:r>
      <w:r w:rsidRPr="004B6B00">
        <w:rPr>
          <w:rFonts w:ascii="Bahnschrift Light" w:hAnsi="Bahnschrift Light"/>
          <w:color w:val="auto"/>
        </w:rPr>
        <w:t xml:space="preserve">posiada kategorię A+, przyznawaną w Polsce instytucjom o najwyższym potencjale naukowym. </w:t>
      </w:r>
      <w:r w:rsidR="00B23BA2">
        <w:rPr>
          <w:rFonts w:ascii="Bahnschrift Light" w:hAnsi="Bahnschrift Light"/>
          <w:color w:val="auto"/>
        </w:rPr>
        <w:t>Jego k</w:t>
      </w:r>
      <w:r w:rsidRPr="004B6B00">
        <w:rPr>
          <w:rFonts w:ascii="Bahnschrift Light" w:hAnsi="Bahnschrift Light"/>
          <w:color w:val="auto"/>
        </w:rPr>
        <w:t xml:space="preserve">adra naukowa </w:t>
      </w:r>
      <w:r w:rsidR="00B23BA2">
        <w:rPr>
          <w:rFonts w:ascii="Bahnschrift Light" w:hAnsi="Bahnschrift Light"/>
          <w:color w:val="auto"/>
        </w:rPr>
        <w:t>składa się z</w:t>
      </w:r>
      <w:r w:rsidR="00B23BA2" w:rsidRPr="004B6B00">
        <w:rPr>
          <w:rFonts w:ascii="Bahnschrift Light" w:hAnsi="Bahnschrift Light"/>
          <w:color w:val="auto"/>
        </w:rPr>
        <w:t xml:space="preserve"> </w:t>
      </w:r>
      <w:r w:rsidRPr="004B6B00">
        <w:rPr>
          <w:rFonts w:ascii="Bahnschrift Light" w:hAnsi="Bahnschrift Light"/>
          <w:color w:val="auto"/>
        </w:rPr>
        <w:t>ponad 130 badaczy, w tym 28 profesorów zwyczajnych, którzy stosując najnowocześniejsze metody badawcze w połączeniu z precyzyjnymi narzędziami, realizują ambitne, interdyscyplinarne projekty. Główny nurt badań skupia się na nowych terapiach oraz metodach diagnostycznych w zakresie chorób neurodegeneracyjnych, zaburzeń metabolicznych, nowotworów i innych schorzeń</w:t>
      </w:r>
      <w:r w:rsidR="0024083C">
        <w:rPr>
          <w:rFonts w:ascii="Bahnschrift Light" w:hAnsi="Bahnschrift Light"/>
          <w:color w:val="auto"/>
        </w:rPr>
        <w:t xml:space="preserve"> </w:t>
      </w:r>
      <w:r w:rsidR="00B23BA2">
        <w:rPr>
          <w:rFonts w:ascii="Bahnschrift Light" w:hAnsi="Bahnschrift Light"/>
          <w:color w:val="auto"/>
        </w:rPr>
        <w:t>współczesnego społeczeństwa</w:t>
      </w:r>
      <w:r w:rsidRPr="004B6B00">
        <w:rPr>
          <w:rFonts w:ascii="Bahnschrift Light" w:hAnsi="Bahnschrift Light"/>
          <w:color w:val="auto"/>
        </w:rPr>
        <w:t xml:space="preserve">. Naukowa działalność instytutu wspierana jest przez pracownie usługowe, które oferują szeroki zakres usług, w tym badania przedkliniczne, sekwencjonowanie DNA, produkcję zwierząt transgenicznych i obrazowanie biologiczne, od mikroskopii świetlnej oraz elektronowej aż po obrazowanie rezonansem magnetycznym. </w:t>
      </w:r>
      <w:r w:rsidR="00B23BA2">
        <w:rPr>
          <w:rFonts w:ascii="Bahnschrift Light" w:hAnsi="Bahnschrift Light"/>
          <w:color w:val="auto"/>
        </w:rPr>
        <w:t>S</w:t>
      </w:r>
      <w:r w:rsidRPr="004B6B00">
        <w:rPr>
          <w:rFonts w:ascii="Bahnschrift Light" w:hAnsi="Bahnschrift Light"/>
          <w:color w:val="auto"/>
        </w:rPr>
        <w:t xml:space="preserve">trategia wspierania innowacyjności </w:t>
      </w:r>
      <w:r w:rsidR="00B23BA2">
        <w:rPr>
          <w:rFonts w:ascii="Bahnschrift Light" w:hAnsi="Bahnschrift Light"/>
          <w:color w:val="auto"/>
        </w:rPr>
        <w:t xml:space="preserve">wdrożona w Instytucie </w:t>
      </w:r>
      <w:r w:rsidRPr="004B6B00">
        <w:rPr>
          <w:rFonts w:ascii="Bahnschrift Light" w:hAnsi="Bahnschrift Light"/>
          <w:color w:val="auto"/>
        </w:rPr>
        <w:t xml:space="preserve">owocuje stałym wzrostem liczby publikacji oraz liczby wynalazków objętych patentami krajowymi i zagranicznymi, a także stymuluje współpracę naszego instytutu z przemysłem. </w:t>
      </w:r>
      <w:r w:rsidR="00AE5478" w:rsidRPr="004B6B00">
        <w:rPr>
          <w:rFonts w:ascii="Bahnschrift Light" w:hAnsi="Bahnschrift Light"/>
          <w:color w:val="auto"/>
        </w:rPr>
        <w:t xml:space="preserve">Więcej informacji o Instytucie można znaleźć na stronie internetowej: </w:t>
      </w:r>
      <w:hyperlink r:id="rId8" w:history="1">
        <w:r w:rsidR="004B6B00" w:rsidRPr="000C45D0">
          <w:rPr>
            <w:rStyle w:val="Hipercze"/>
            <w:rFonts w:ascii="Bahnschrift Light" w:hAnsi="Bahnschrift Light"/>
          </w:rPr>
          <w:t>https://nencki.edu.pl/institute/about/information/</w:t>
        </w:r>
      </w:hyperlink>
    </w:p>
    <w:p w14:paraId="1405141A" w14:textId="6F41D6E2" w:rsidR="004334C1" w:rsidRDefault="004334C1" w:rsidP="006710C8">
      <w:pPr>
        <w:pStyle w:val="Default"/>
        <w:jc w:val="both"/>
        <w:rPr>
          <w:rFonts w:ascii="Bahnschrift Light" w:hAnsi="Bahnschrift Light"/>
        </w:rPr>
      </w:pPr>
    </w:p>
    <w:p w14:paraId="63C1AFC9" w14:textId="77777777" w:rsidR="00B23BA2" w:rsidRPr="004B6B00" w:rsidRDefault="00B23BA2" w:rsidP="006710C8">
      <w:pPr>
        <w:pStyle w:val="Default"/>
        <w:jc w:val="both"/>
        <w:rPr>
          <w:rFonts w:ascii="Bahnschrift Light" w:hAnsi="Bahnschrift Light"/>
        </w:rPr>
      </w:pPr>
    </w:p>
    <w:p w14:paraId="20BADB20" w14:textId="437783B0" w:rsidR="00AE5478" w:rsidRPr="004B6B00" w:rsidRDefault="00AE5478" w:rsidP="006C0A84">
      <w:pPr>
        <w:pStyle w:val="Nagwek2"/>
      </w:pPr>
      <w:bookmarkStart w:id="1" w:name="_Toc189226031"/>
      <w:r w:rsidRPr="004B6B00">
        <w:t>1.1 Misja</w:t>
      </w:r>
      <w:bookmarkEnd w:id="1"/>
      <w:r w:rsidRPr="004B6B00">
        <w:t xml:space="preserve"> </w:t>
      </w:r>
    </w:p>
    <w:p w14:paraId="2686A90C" w14:textId="6EF7B4E0" w:rsidR="004B6B00" w:rsidRDefault="004334C1" w:rsidP="004B6B00">
      <w:pPr>
        <w:pStyle w:val="Default"/>
        <w:jc w:val="both"/>
        <w:rPr>
          <w:rFonts w:ascii="Bahnschrift Light" w:hAnsi="Bahnschrift Light" w:cs="Arial"/>
        </w:rPr>
      </w:pPr>
      <w:r w:rsidRPr="004B6B00">
        <w:rPr>
          <w:rFonts w:ascii="Bahnschrift Light" w:hAnsi="Bahnschrift Light" w:cs="Arial"/>
        </w:rPr>
        <w:t xml:space="preserve">Działalność Instytutu Nenckiego koncentruje się na trzech głównych obszarach: badaniach naukowych, innowacyjności i edukacji. Zespół naukowy Instytutu łączy najnowszą wiedzę ze zdobyczami technologicznymi w celu opracowywania nowatorskich strategii naukowych pozwalających na rozwiązywanie złożonych problemów współczesnej biologii i medycyny. Misja wspierania innowacyjności realizowana jest poprzez rozwijanie platformy innowacyjnej Instytutu Nenckiego, w ramach inicjatywy SPARK Global, która zapewnia wsparcie dla badań prowadzonych we współpracy z biznesem, oraz transfer technologii. </w:t>
      </w:r>
      <w:r w:rsidR="007141BB" w:rsidRPr="007141BB">
        <w:rPr>
          <w:rFonts w:ascii="Bahnschrift Light" w:hAnsi="Bahnschrift Light" w:cs="Arial"/>
        </w:rPr>
        <w:t>Instytut pełni również istotną rolę w edukacji, kształcąc i inspirując</w:t>
      </w:r>
      <w:r w:rsidRPr="004B6B00">
        <w:rPr>
          <w:rFonts w:ascii="Bahnschrift Light" w:hAnsi="Bahnschrift Light" w:cs="Arial"/>
        </w:rPr>
        <w:t xml:space="preserve"> przyszłych liderów nauki poprzez wielokierunkową edukację w ramach autorskiego programu edukacyjnego, Warszawskiej Szkoły Doktorskiej Warszaw-4-PhD.</w:t>
      </w:r>
    </w:p>
    <w:p w14:paraId="58716FE9" w14:textId="77777777" w:rsidR="004B6B00" w:rsidRDefault="004B6B00" w:rsidP="004B6B00">
      <w:pPr>
        <w:pStyle w:val="Default"/>
        <w:jc w:val="both"/>
        <w:rPr>
          <w:rFonts w:ascii="Bahnschrift Light" w:hAnsi="Bahnschrift Light" w:cs="Arial"/>
        </w:rPr>
      </w:pPr>
    </w:p>
    <w:p w14:paraId="72DF75FB" w14:textId="170FE92F" w:rsidR="00AE5478" w:rsidRPr="004B6B00" w:rsidRDefault="00AE5478" w:rsidP="006C0A84">
      <w:pPr>
        <w:pStyle w:val="Nagwek2"/>
      </w:pPr>
      <w:bookmarkStart w:id="2" w:name="_Toc189226032"/>
      <w:r w:rsidRPr="004B6B00">
        <w:t>1.</w:t>
      </w:r>
      <w:r w:rsidR="00E22427" w:rsidRPr="004B6B00">
        <w:t>2</w:t>
      </w:r>
      <w:r w:rsidRPr="004B6B00">
        <w:t xml:space="preserve"> Struktura organizacyjna</w:t>
      </w:r>
      <w:bookmarkEnd w:id="2"/>
      <w:r w:rsidRPr="004B6B00">
        <w:t xml:space="preserve"> </w:t>
      </w:r>
    </w:p>
    <w:p w14:paraId="01BE1D0B" w14:textId="21F90AF8" w:rsidR="00AE5478" w:rsidRPr="004B6B00" w:rsidRDefault="00AE5478" w:rsidP="006710C8">
      <w:pPr>
        <w:pStyle w:val="Default"/>
        <w:jc w:val="both"/>
        <w:rPr>
          <w:rFonts w:ascii="Bahnschrift Light" w:hAnsi="Bahnschrift Light"/>
          <w:color w:val="auto"/>
        </w:rPr>
      </w:pPr>
      <w:r w:rsidRPr="004B6B00">
        <w:rPr>
          <w:rFonts w:ascii="Bahnschrift Light" w:hAnsi="Bahnschrift Light"/>
          <w:color w:val="auto"/>
        </w:rPr>
        <w:t xml:space="preserve">Organami </w:t>
      </w:r>
      <w:r w:rsidR="00E22427" w:rsidRPr="004B6B00">
        <w:rPr>
          <w:rFonts w:ascii="Bahnschrift Light" w:hAnsi="Bahnschrift Light"/>
          <w:color w:val="auto"/>
        </w:rPr>
        <w:t>Instytutu Nenckiego</w:t>
      </w:r>
      <w:r w:rsidRPr="004B6B00">
        <w:rPr>
          <w:rFonts w:ascii="Bahnschrift Light" w:hAnsi="Bahnschrift Light"/>
          <w:color w:val="auto"/>
        </w:rPr>
        <w:t xml:space="preserve"> są Dyrektor oraz Rada Naukowa. Organy te tworzą politykę naukową, nadzorują i stymulują działalność Instytutu w celu utrzymania jak najwyższych standardów, zarówno w kontekście naukowym, jak i </w:t>
      </w:r>
      <w:proofErr w:type="spellStart"/>
      <w:r w:rsidRPr="004B6B00">
        <w:rPr>
          <w:rFonts w:ascii="Bahnschrift Light" w:hAnsi="Bahnschrift Light"/>
          <w:color w:val="auto"/>
        </w:rPr>
        <w:t>ogólnoorganizacyjnym</w:t>
      </w:r>
      <w:proofErr w:type="spellEnd"/>
      <w:r w:rsidRPr="004B6B00">
        <w:rPr>
          <w:rFonts w:ascii="Bahnschrift Light" w:hAnsi="Bahnschrift Light"/>
          <w:color w:val="auto"/>
        </w:rPr>
        <w:t xml:space="preserve">. </w:t>
      </w:r>
    </w:p>
    <w:p w14:paraId="04C81207" w14:textId="1F146574" w:rsidR="00AE5478" w:rsidRPr="004B6B00" w:rsidRDefault="00AE5478" w:rsidP="006710C8">
      <w:pPr>
        <w:pStyle w:val="Default"/>
        <w:jc w:val="both"/>
        <w:rPr>
          <w:rFonts w:ascii="Bahnschrift Light" w:hAnsi="Bahnschrift Light"/>
          <w:color w:val="auto"/>
        </w:rPr>
      </w:pPr>
      <w:r w:rsidRPr="004B6B00">
        <w:rPr>
          <w:rFonts w:ascii="Bahnschrift Light" w:hAnsi="Bahnschrift Light"/>
          <w:color w:val="auto"/>
        </w:rPr>
        <w:t xml:space="preserve"> </w:t>
      </w:r>
    </w:p>
    <w:p w14:paraId="3239F037" w14:textId="547FFC28" w:rsidR="00E22427" w:rsidRPr="004B6B00" w:rsidRDefault="00E22427" w:rsidP="006C0A84">
      <w:pPr>
        <w:pStyle w:val="Nagwek3"/>
      </w:pPr>
      <w:bookmarkStart w:id="3" w:name="_Toc189226033"/>
      <w:r w:rsidRPr="004B6B00">
        <w:t>1.2.1.Jednostki naukowe i usługowe</w:t>
      </w:r>
      <w:bookmarkEnd w:id="3"/>
    </w:p>
    <w:p w14:paraId="7BE1748D" w14:textId="30CBC253" w:rsidR="007141BB" w:rsidRDefault="00E22427" w:rsidP="006710C8">
      <w:pPr>
        <w:pStyle w:val="NormalnyWeb"/>
        <w:shd w:val="clear" w:color="auto" w:fill="FFFFFF"/>
        <w:spacing w:before="0" w:beforeAutospacing="0"/>
        <w:jc w:val="both"/>
        <w:rPr>
          <w:rFonts w:ascii="Bahnschrift Light" w:hAnsi="Bahnschrift Light" w:cs="Hind"/>
          <w:color w:val="20212B"/>
        </w:rPr>
      </w:pPr>
      <w:r w:rsidRPr="004B6B00">
        <w:rPr>
          <w:rFonts w:ascii="Bahnschrift Light" w:hAnsi="Bahnschrift Light" w:cs="Hind"/>
          <w:color w:val="20212B"/>
        </w:rPr>
        <w:t>Większość pracowni naukowych Instytutu Nenckiego działa w obrębie Centrum Badań Podstawowych oraz Translacyjnych w Zakresie Biologii i Nauk Biomedycznych.</w:t>
      </w:r>
      <w:r w:rsidR="007141BB">
        <w:rPr>
          <w:rFonts w:ascii="Bahnschrift Light" w:hAnsi="Bahnschrift Light" w:cs="Hind"/>
          <w:color w:val="20212B"/>
        </w:rPr>
        <w:t xml:space="preserve"> </w:t>
      </w:r>
      <w:r w:rsidRPr="004B6B00">
        <w:rPr>
          <w:rFonts w:ascii="Bahnschrift Light" w:hAnsi="Bahnschrift Light" w:cs="Hind"/>
          <w:color w:val="20212B"/>
        </w:rPr>
        <w:t>Centrum to skupia 27 pracowni, które łącząc ze sobą najnowsze zdobycze biologii, biotechnologii oraz technik obliczeniowych prowadzą badania zmierzające do zrozumienia podstawowych problemów biologii i medycyny. Szczególny nacisk kładziony jest na badania podstawowe i translacyjne w dziedzinie neurobiologii oraz chorób cywilizacyjnych.</w:t>
      </w:r>
    </w:p>
    <w:p w14:paraId="5E6C6306" w14:textId="13EAB77B" w:rsidR="00E22427" w:rsidRPr="004B6B00" w:rsidRDefault="00E22427" w:rsidP="006710C8">
      <w:pPr>
        <w:pStyle w:val="NormalnyWeb"/>
        <w:shd w:val="clear" w:color="auto" w:fill="FFFFFF"/>
        <w:spacing w:before="0" w:beforeAutospacing="0"/>
        <w:jc w:val="both"/>
        <w:rPr>
          <w:rFonts w:ascii="Bahnschrift Light" w:hAnsi="Bahnschrift Light" w:cs="Hind"/>
          <w:color w:val="20212B"/>
        </w:rPr>
      </w:pPr>
      <w:r w:rsidRPr="004B6B00">
        <w:rPr>
          <w:rFonts w:ascii="Bahnschrift Light" w:hAnsi="Bahnschrift Light" w:cs="Hind"/>
          <w:color w:val="20212B"/>
        </w:rPr>
        <w:t>Centrum Badań Plastyczności Neuronalnej i Chorób Mózgu BRAINCITY</w:t>
      </w:r>
      <w:r w:rsidRPr="004B6B00">
        <w:rPr>
          <w:rFonts w:ascii="Bahnschrift Light" w:hAnsi="Bahnschrift Light" w:cs="Hind"/>
          <w:b/>
          <w:bCs/>
          <w:color w:val="20212B"/>
        </w:rPr>
        <w:t>, </w:t>
      </w:r>
      <w:r w:rsidRPr="004B6B00">
        <w:rPr>
          <w:rFonts w:ascii="Bahnschrift Light" w:hAnsi="Bahnschrift Light" w:cs="Hind"/>
          <w:color w:val="20212B"/>
        </w:rPr>
        <w:t>składające się z 2 pracowni badawczych, powstało jako Międzynarodowa Agenda Badawcza stworzona pod patronatem Europejskiego Laboratorium Biologii Molekularnej (EMBL).</w:t>
      </w:r>
      <w:r w:rsidR="00955D1D">
        <w:rPr>
          <w:rFonts w:ascii="Bahnschrift Light" w:hAnsi="Bahnschrift Light" w:cs="Hind"/>
          <w:color w:val="20212B"/>
        </w:rPr>
        <w:t xml:space="preserve"> </w:t>
      </w:r>
      <w:r w:rsidRPr="004B6B00">
        <w:rPr>
          <w:rFonts w:ascii="Bahnschrift Light" w:hAnsi="Bahnschrift Light" w:cs="Hind"/>
          <w:color w:val="20212B"/>
        </w:rPr>
        <w:t>Badania prowadzone w BRAINCITY skupiają się na zrozumieniu mechanizmów chorób układu nerwowego oraz mają na celu opracowanie nowych metod ich diagnostyki i monitorowania, a także wsparcie procesu rozwijania nowych terapii.</w:t>
      </w:r>
    </w:p>
    <w:p w14:paraId="359548BF" w14:textId="0C6DE191" w:rsidR="00E22427" w:rsidRPr="004B6B00" w:rsidRDefault="00E22427" w:rsidP="006710C8">
      <w:pPr>
        <w:pStyle w:val="NormalnyWeb"/>
        <w:shd w:val="clear" w:color="auto" w:fill="FFFFFF"/>
        <w:spacing w:before="0" w:beforeAutospacing="0"/>
        <w:jc w:val="both"/>
        <w:rPr>
          <w:rFonts w:ascii="Bahnschrift Light" w:hAnsi="Bahnschrift Light" w:cs="Hind"/>
          <w:color w:val="20212B"/>
        </w:rPr>
      </w:pPr>
      <w:r w:rsidRPr="004B6B00">
        <w:rPr>
          <w:rFonts w:ascii="Bahnschrift Light" w:hAnsi="Bahnschrift Light" w:cs="Hind"/>
          <w:color w:val="20212B"/>
        </w:rPr>
        <w:lastRenderedPageBreak/>
        <w:t>Centrum Neurobiologii skupia 8 pracowni usługowych, oferujących użytkownikom wewnętrznym i zewnętrznym najnowocześniejszy sprzęt oraz profesjonalną ekspertyzę w zakresie neurobiologii, biologii molekularnej oraz obrazowania biologicznego.</w:t>
      </w:r>
      <w:r w:rsidR="00955D1D">
        <w:rPr>
          <w:rFonts w:ascii="Bahnschrift Light" w:hAnsi="Bahnschrift Light" w:cs="Hind"/>
          <w:color w:val="20212B"/>
        </w:rPr>
        <w:t xml:space="preserve"> </w:t>
      </w:r>
      <w:r w:rsidRPr="004B6B00">
        <w:rPr>
          <w:rFonts w:ascii="Bahnschrift Light" w:hAnsi="Bahnschrift Light" w:cs="Hind"/>
          <w:color w:val="20212B"/>
        </w:rPr>
        <w:t>Centrum oferuje ponadto szeroki wachlarz usług obejmujących badania przedkliniczne, usługi z zakresu inżynierii genetycznej oraz produkcję zwierząt transgenicznych.</w:t>
      </w:r>
      <w:r w:rsidR="00955D1D">
        <w:rPr>
          <w:rFonts w:ascii="Bahnschrift Light" w:hAnsi="Bahnschrift Light" w:cs="Hind"/>
          <w:color w:val="20212B"/>
        </w:rPr>
        <w:t xml:space="preserve"> </w:t>
      </w:r>
      <w:r w:rsidRPr="004B6B00">
        <w:rPr>
          <w:rFonts w:ascii="Bahnschrift Light" w:hAnsi="Bahnschrift Light" w:cs="Hind"/>
          <w:color w:val="20212B"/>
        </w:rPr>
        <w:t>Celem pracowni wchodzących w skład Centrum Neurobiologii jest zapewnienie merytorycznego i technicznego wsparcia badań prowadzonych w Instytucie, a także współpraca z zewnętrznymi partnerami naukowymi i komercyjnymi w celu rozwijania innowacyjności i przyspieszenia transferu technologii oraz wdrożeń odkryć naukowych.</w:t>
      </w:r>
    </w:p>
    <w:p w14:paraId="74207471" w14:textId="4D6B3241" w:rsidR="00E22427" w:rsidRPr="004B6B00" w:rsidRDefault="00E22427" w:rsidP="006710C8">
      <w:pPr>
        <w:pStyle w:val="NormalnyWeb"/>
        <w:shd w:val="clear" w:color="auto" w:fill="FFFFFF"/>
        <w:spacing w:before="0" w:beforeAutospacing="0"/>
        <w:jc w:val="both"/>
        <w:rPr>
          <w:rFonts w:ascii="Bahnschrift Light" w:hAnsi="Bahnschrift Light" w:cs="Hind"/>
          <w:color w:val="20212B"/>
        </w:rPr>
      </w:pPr>
      <w:r w:rsidRPr="004B6B00">
        <w:rPr>
          <w:rFonts w:ascii="Bahnschrift Light" w:hAnsi="Bahnschrift Light" w:cs="Hind"/>
          <w:color w:val="20212B"/>
        </w:rPr>
        <w:t>Stacja Badawcza w Mikołajkach udostępnia infrastrukturę badawczą dla badań behawioralnych, metabolicznych i molekularnych. Stacja dysponuje nowoczesnymi laboratoriami badawczymi, bazą noclegową oraz salami konferencyjnymi, co czyni ją samodzielną placówką badawczą. Jej unikalna infrastruktura i lokalizacja umożliwia prowadzenie badań eksperymentalnych w naturalnym środowisku zwierząt.</w:t>
      </w:r>
      <w:r w:rsidR="00955D1D">
        <w:rPr>
          <w:rFonts w:ascii="Bahnschrift Light" w:hAnsi="Bahnschrift Light" w:cs="Hind"/>
          <w:color w:val="20212B"/>
        </w:rPr>
        <w:t xml:space="preserve"> </w:t>
      </w:r>
      <w:r w:rsidRPr="004B6B00">
        <w:rPr>
          <w:rFonts w:ascii="Bahnschrift Light" w:hAnsi="Bahnschrift Light" w:cs="Hind"/>
          <w:color w:val="20212B"/>
        </w:rPr>
        <w:t>Stacja prowadzi również intensywną działalność edukacyjną, organizując wykłady, pokazy i warsztaty dla nauczycieli oraz młodzieży szkolnej.</w:t>
      </w:r>
      <w:r w:rsidR="00955D1D">
        <w:rPr>
          <w:rFonts w:ascii="Bahnschrift Light" w:hAnsi="Bahnschrift Light" w:cs="Hind"/>
          <w:color w:val="20212B"/>
        </w:rPr>
        <w:t xml:space="preserve"> </w:t>
      </w:r>
      <w:r w:rsidRPr="004B6B00">
        <w:rPr>
          <w:rFonts w:ascii="Bahnschrift Light" w:hAnsi="Bahnschrift Light" w:cs="Hind"/>
          <w:color w:val="20212B"/>
        </w:rPr>
        <w:t xml:space="preserve">W ramach realizowanego na Stacji, przez Instytut Nenckiego, projektu naukowego NEBI, w </w:t>
      </w:r>
      <w:r w:rsidR="006710C8" w:rsidRPr="004B6B00">
        <w:rPr>
          <w:rFonts w:ascii="Bahnschrift Light" w:hAnsi="Bahnschrift Light" w:cs="Hind"/>
          <w:color w:val="20212B"/>
        </w:rPr>
        <w:t xml:space="preserve">2024 roku </w:t>
      </w:r>
      <w:r w:rsidRPr="004B6B00">
        <w:rPr>
          <w:rFonts w:ascii="Bahnschrift Light" w:hAnsi="Bahnschrift Light" w:cs="Hind"/>
          <w:color w:val="20212B"/>
        </w:rPr>
        <w:t>powsta</w:t>
      </w:r>
      <w:r w:rsidR="006710C8" w:rsidRPr="004B6B00">
        <w:rPr>
          <w:rFonts w:ascii="Bahnschrift Light" w:hAnsi="Bahnschrift Light" w:cs="Hind"/>
          <w:color w:val="20212B"/>
        </w:rPr>
        <w:t>ło</w:t>
      </w:r>
      <w:r w:rsidRPr="004B6B00">
        <w:rPr>
          <w:rFonts w:ascii="Bahnschrift Light" w:hAnsi="Bahnschrift Light" w:cs="Hind"/>
          <w:color w:val="20212B"/>
        </w:rPr>
        <w:t xml:space="preserve"> </w:t>
      </w:r>
      <w:r w:rsidR="006710C8" w:rsidRPr="004B6B00">
        <w:rPr>
          <w:rFonts w:ascii="Bahnschrift Light" w:hAnsi="Bahnschrift Light" w:cs="Hind"/>
          <w:color w:val="20212B"/>
        </w:rPr>
        <w:t xml:space="preserve">Krajowe Centrum </w:t>
      </w:r>
      <w:proofErr w:type="spellStart"/>
      <w:r w:rsidR="006710C8" w:rsidRPr="004B6B00">
        <w:rPr>
          <w:rFonts w:ascii="Bahnschrift Light" w:hAnsi="Bahnschrift Light" w:cs="Hind"/>
          <w:color w:val="20212B"/>
        </w:rPr>
        <w:t>BioObrazowania</w:t>
      </w:r>
      <w:proofErr w:type="spellEnd"/>
      <w:r w:rsidR="006710C8" w:rsidRPr="004B6B00">
        <w:rPr>
          <w:rFonts w:ascii="Bahnschrift Light" w:hAnsi="Bahnschrift Light" w:cs="Hind"/>
          <w:color w:val="20212B"/>
        </w:rPr>
        <w:t xml:space="preserve"> (BIOPIXEL)</w:t>
      </w:r>
      <w:r w:rsidRPr="004B6B00">
        <w:rPr>
          <w:rFonts w:ascii="Bahnschrift Light" w:hAnsi="Bahnschrift Light" w:cs="Hind"/>
          <w:color w:val="20212B"/>
        </w:rPr>
        <w:t>, oferujące nowoczesną aparaturę do obrazowania procesów biologicznych na wielu poziomach organizacji, a także zintegrowaną platformę informatyczną do gromadzenia i analizy danych.</w:t>
      </w:r>
    </w:p>
    <w:p w14:paraId="6C84DF1E" w14:textId="429C2B7A" w:rsidR="00E22427" w:rsidRPr="004B6B00" w:rsidRDefault="00E22427" w:rsidP="006C0A84">
      <w:pPr>
        <w:pStyle w:val="Nagwek3"/>
      </w:pPr>
      <w:bookmarkStart w:id="4" w:name="_Toc189226034"/>
      <w:r w:rsidRPr="004B6B00">
        <w:t>1.2.2 Jednostki pomocnicze</w:t>
      </w:r>
      <w:bookmarkEnd w:id="4"/>
    </w:p>
    <w:p w14:paraId="7C3CBAB6" w14:textId="7DA7AEC7" w:rsidR="00E22427" w:rsidRPr="004B6B00" w:rsidRDefault="00E22427" w:rsidP="006710C8">
      <w:pPr>
        <w:pStyle w:val="Default"/>
        <w:jc w:val="both"/>
        <w:rPr>
          <w:rFonts w:ascii="Bahnschrift Light" w:hAnsi="Bahnschrift Light"/>
          <w:color w:val="auto"/>
        </w:rPr>
      </w:pPr>
    </w:p>
    <w:p w14:paraId="26DEDF0F" w14:textId="1095C296" w:rsidR="006710C8" w:rsidRPr="004B6B00" w:rsidRDefault="006710C8" w:rsidP="006710C8">
      <w:pPr>
        <w:pStyle w:val="Default"/>
        <w:jc w:val="both"/>
        <w:rPr>
          <w:rFonts w:ascii="Bahnschrift Light" w:hAnsi="Bahnschrift Light"/>
          <w:color w:val="auto"/>
        </w:rPr>
      </w:pPr>
      <w:r w:rsidRPr="004B6B00">
        <w:rPr>
          <w:rFonts w:ascii="Bahnschrift Light" w:hAnsi="Bahnschrift Light"/>
          <w:color w:val="auto"/>
        </w:rPr>
        <w:t>W Instytucie obok pracowni naukowych i usługowych działają jednostki pomocnicze.</w:t>
      </w:r>
    </w:p>
    <w:p w14:paraId="66381880" w14:textId="77777777" w:rsidR="00955D1D" w:rsidRDefault="00955D1D" w:rsidP="006710C8">
      <w:pPr>
        <w:pStyle w:val="Default"/>
        <w:jc w:val="both"/>
        <w:rPr>
          <w:rFonts w:ascii="Bahnschrift Light" w:hAnsi="Bahnschrift Light"/>
          <w:color w:val="auto"/>
        </w:rPr>
      </w:pPr>
    </w:p>
    <w:p w14:paraId="6D974E99" w14:textId="6E9506F0" w:rsidR="00955D1D" w:rsidRDefault="006710C8" w:rsidP="006710C8">
      <w:pPr>
        <w:pStyle w:val="Default"/>
        <w:jc w:val="both"/>
        <w:rPr>
          <w:rFonts w:ascii="Bahnschrift Light" w:hAnsi="Bahnschrift Light"/>
          <w:color w:val="auto"/>
        </w:rPr>
      </w:pPr>
      <w:r w:rsidRPr="004B6B00">
        <w:rPr>
          <w:rFonts w:ascii="Bahnschrift Light" w:hAnsi="Bahnschrift Light"/>
          <w:color w:val="auto"/>
        </w:rPr>
        <w:t xml:space="preserve">Biblioteka Instytutu Nenckiego </w:t>
      </w:r>
    </w:p>
    <w:p w14:paraId="78A1FD22" w14:textId="2473D516" w:rsidR="00955D1D" w:rsidRDefault="00955D1D" w:rsidP="00955D1D">
      <w:pPr>
        <w:pStyle w:val="Default"/>
        <w:numPr>
          <w:ilvl w:val="0"/>
          <w:numId w:val="16"/>
        </w:numPr>
        <w:jc w:val="both"/>
        <w:rPr>
          <w:rFonts w:ascii="Bahnschrift Light" w:hAnsi="Bahnschrift Light"/>
          <w:color w:val="auto"/>
        </w:rPr>
      </w:pPr>
      <w:r>
        <w:rPr>
          <w:rFonts w:ascii="Bahnschrift Light" w:hAnsi="Bahnschrift Light"/>
          <w:color w:val="auto"/>
        </w:rPr>
        <w:t>O</w:t>
      </w:r>
      <w:r w:rsidR="006710C8" w:rsidRPr="004B6B00">
        <w:rPr>
          <w:rFonts w:ascii="Bahnschrift Light" w:hAnsi="Bahnschrift Light"/>
          <w:color w:val="auto"/>
        </w:rPr>
        <w:t xml:space="preserve">feruje bogaty zbiór materiałów drukowanych i elektronicznych, w tym książki, czasopisma, płyty CD, mikrofilmy i starodruki. </w:t>
      </w:r>
    </w:p>
    <w:p w14:paraId="33B7855E" w14:textId="6026744E" w:rsidR="006710C8" w:rsidRPr="004B6B00" w:rsidRDefault="00955D1D" w:rsidP="00895AEE">
      <w:pPr>
        <w:pStyle w:val="Default"/>
        <w:numPr>
          <w:ilvl w:val="0"/>
          <w:numId w:val="16"/>
        </w:numPr>
        <w:jc w:val="both"/>
        <w:rPr>
          <w:rFonts w:ascii="Bahnschrift Light" w:hAnsi="Bahnschrift Light"/>
          <w:color w:val="auto"/>
        </w:rPr>
      </w:pPr>
      <w:r>
        <w:rPr>
          <w:rFonts w:ascii="Bahnschrift Light" w:hAnsi="Bahnschrift Light"/>
          <w:color w:val="auto"/>
        </w:rPr>
        <w:t>Obejmuje</w:t>
      </w:r>
      <w:r w:rsidR="006710C8" w:rsidRPr="004B6B00">
        <w:rPr>
          <w:rFonts w:ascii="Bahnschrift Light" w:hAnsi="Bahnschrift Light"/>
          <w:color w:val="auto"/>
        </w:rPr>
        <w:t xml:space="preserve"> obecnie ponad 75 000 woluminów </w:t>
      </w:r>
      <w:r>
        <w:rPr>
          <w:rFonts w:ascii="Bahnschrift Light" w:hAnsi="Bahnschrift Light"/>
          <w:color w:val="auto"/>
        </w:rPr>
        <w:t>o</w:t>
      </w:r>
      <w:r w:rsidR="006710C8" w:rsidRPr="004B6B00">
        <w:rPr>
          <w:rFonts w:ascii="Bahnschrift Light" w:hAnsi="Bahnschrift Light"/>
          <w:color w:val="auto"/>
        </w:rPr>
        <w:t xml:space="preserve"> szeroki</w:t>
      </w:r>
      <w:r>
        <w:rPr>
          <w:rFonts w:ascii="Bahnschrift Light" w:hAnsi="Bahnschrift Light"/>
          <w:color w:val="auto"/>
        </w:rPr>
        <w:t>m</w:t>
      </w:r>
      <w:r w:rsidR="006710C8" w:rsidRPr="004B6B00">
        <w:rPr>
          <w:rFonts w:ascii="Bahnschrift Light" w:hAnsi="Bahnschrift Light"/>
          <w:color w:val="auto"/>
        </w:rPr>
        <w:t xml:space="preserve"> zakres</w:t>
      </w:r>
      <w:r>
        <w:rPr>
          <w:rFonts w:ascii="Bahnschrift Light" w:hAnsi="Bahnschrift Light"/>
          <w:color w:val="auto"/>
        </w:rPr>
        <w:t>ie</w:t>
      </w:r>
      <w:r w:rsidR="006710C8" w:rsidRPr="004B6B00">
        <w:rPr>
          <w:rFonts w:ascii="Bahnschrift Light" w:hAnsi="Bahnschrift Light"/>
          <w:color w:val="auto"/>
        </w:rPr>
        <w:t xml:space="preserve"> tematyczny</w:t>
      </w:r>
      <w:r>
        <w:rPr>
          <w:rFonts w:ascii="Bahnschrift Light" w:hAnsi="Bahnschrift Light"/>
          <w:color w:val="auto"/>
        </w:rPr>
        <w:t>m</w:t>
      </w:r>
      <w:r w:rsidR="006710C8" w:rsidRPr="004B6B00">
        <w:rPr>
          <w:rFonts w:ascii="Bahnschrift Light" w:hAnsi="Bahnschrift Light"/>
          <w:color w:val="auto"/>
        </w:rPr>
        <w:t xml:space="preserve"> związany</w:t>
      </w:r>
      <w:r>
        <w:rPr>
          <w:rFonts w:ascii="Bahnschrift Light" w:hAnsi="Bahnschrift Light"/>
          <w:color w:val="auto"/>
        </w:rPr>
        <w:t>m m.in.</w:t>
      </w:r>
      <w:r w:rsidR="006710C8" w:rsidRPr="004B6B00">
        <w:rPr>
          <w:rFonts w:ascii="Bahnschrift Light" w:hAnsi="Bahnschrift Light"/>
          <w:color w:val="auto"/>
        </w:rPr>
        <w:t xml:space="preserve"> z biologią, neurobiologią i chorobami człowieka.</w:t>
      </w:r>
    </w:p>
    <w:p w14:paraId="41813569" w14:textId="14EAE05A" w:rsidR="006710C8" w:rsidRPr="004B6B00" w:rsidRDefault="006710C8" w:rsidP="006710C8">
      <w:pPr>
        <w:pStyle w:val="Default"/>
        <w:jc w:val="both"/>
        <w:rPr>
          <w:rFonts w:ascii="Bahnschrift Light" w:hAnsi="Bahnschrift Light"/>
          <w:color w:val="auto"/>
        </w:rPr>
      </w:pPr>
    </w:p>
    <w:p w14:paraId="11ADA30E" w14:textId="25B5B428" w:rsidR="006710C8" w:rsidRPr="004B6B00" w:rsidRDefault="006710C8" w:rsidP="006710C8">
      <w:pPr>
        <w:pStyle w:val="Default"/>
        <w:jc w:val="both"/>
        <w:rPr>
          <w:rFonts w:ascii="Bahnschrift Light" w:hAnsi="Bahnschrift Light"/>
          <w:color w:val="auto"/>
        </w:rPr>
      </w:pPr>
      <w:r w:rsidRPr="004B6B00">
        <w:rPr>
          <w:rFonts w:ascii="Bahnschrift Light" w:hAnsi="Bahnschrift Light"/>
          <w:color w:val="auto"/>
        </w:rPr>
        <w:t>Dział Współpracy Międzynarodowej i Zarządzania Projektami zajmuje się:</w:t>
      </w:r>
    </w:p>
    <w:p w14:paraId="7323D975" w14:textId="794A28B1" w:rsidR="006710C8" w:rsidRPr="004B6B00" w:rsidRDefault="006710C8" w:rsidP="006710C8">
      <w:pPr>
        <w:numPr>
          <w:ilvl w:val="0"/>
          <w:numId w:val="8"/>
        </w:numPr>
        <w:shd w:val="clear" w:color="auto" w:fill="FFFFFF"/>
        <w:spacing w:before="100" w:beforeAutospacing="1" w:after="100" w:afterAutospacing="1" w:line="240" w:lineRule="auto"/>
        <w:jc w:val="both"/>
        <w:rPr>
          <w:rFonts w:ascii="Bahnschrift Light" w:eastAsia="Times New Roman" w:hAnsi="Bahnschrift Light" w:cs="Hind"/>
          <w:color w:val="20212B"/>
          <w:sz w:val="24"/>
          <w:szCs w:val="24"/>
          <w:lang w:eastAsia="pl-PL"/>
        </w:rPr>
      </w:pPr>
      <w:r w:rsidRPr="004B6B00">
        <w:rPr>
          <w:rFonts w:ascii="Bahnschrift Light" w:eastAsia="Times New Roman" w:hAnsi="Bahnschrift Light" w:cs="Hind"/>
          <w:color w:val="20212B"/>
          <w:sz w:val="24"/>
          <w:szCs w:val="24"/>
          <w:lang w:eastAsia="pl-PL"/>
        </w:rPr>
        <w:t>Obsługą administracyjną międzynarodowych projektów badawczych;</w:t>
      </w:r>
    </w:p>
    <w:p w14:paraId="415A546A" w14:textId="7670ADEF" w:rsidR="006710C8" w:rsidRPr="004B6B00" w:rsidRDefault="006710C8" w:rsidP="006710C8">
      <w:pPr>
        <w:numPr>
          <w:ilvl w:val="0"/>
          <w:numId w:val="8"/>
        </w:numPr>
        <w:shd w:val="clear" w:color="auto" w:fill="FFFFFF"/>
        <w:spacing w:before="100" w:beforeAutospacing="1" w:after="100" w:afterAutospacing="1" w:line="240" w:lineRule="auto"/>
        <w:jc w:val="both"/>
        <w:rPr>
          <w:rFonts w:ascii="Bahnschrift Light" w:eastAsia="Times New Roman" w:hAnsi="Bahnschrift Light" w:cs="Hind"/>
          <w:color w:val="20212B"/>
          <w:sz w:val="24"/>
          <w:szCs w:val="24"/>
          <w:lang w:eastAsia="pl-PL"/>
        </w:rPr>
      </w:pPr>
      <w:r w:rsidRPr="004B6B00">
        <w:rPr>
          <w:rFonts w:ascii="Bahnschrift Light" w:eastAsia="Times New Roman" w:hAnsi="Bahnschrift Light" w:cs="Hind"/>
          <w:color w:val="20212B"/>
          <w:sz w:val="24"/>
          <w:szCs w:val="24"/>
          <w:lang w:eastAsia="pl-PL"/>
        </w:rPr>
        <w:t>Obsługą administracyjną projektów współfinansowanych z funduszy europejskich, programów pomocowych i innych źródeł zewnętrznych;</w:t>
      </w:r>
    </w:p>
    <w:p w14:paraId="41654A8A" w14:textId="7AE9CCE8" w:rsidR="006710C8" w:rsidRPr="004B6B00" w:rsidRDefault="006710C8" w:rsidP="006710C8">
      <w:pPr>
        <w:numPr>
          <w:ilvl w:val="0"/>
          <w:numId w:val="8"/>
        </w:numPr>
        <w:shd w:val="clear" w:color="auto" w:fill="FFFFFF"/>
        <w:spacing w:before="100" w:beforeAutospacing="1" w:after="100" w:afterAutospacing="1" w:line="240" w:lineRule="auto"/>
        <w:jc w:val="both"/>
        <w:rPr>
          <w:rFonts w:ascii="Bahnschrift Light" w:eastAsia="Times New Roman" w:hAnsi="Bahnschrift Light" w:cs="Hind"/>
          <w:color w:val="20212B"/>
          <w:sz w:val="24"/>
          <w:szCs w:val="24"/>
          <w:lang w:eastAsia="pl-PL"/>
        </w:rPr>
      </w:pPr>
      <w:r w:rsidRPr="004B6B00">
        <w:rPr>
          <w:rFonts w:ascii="Bahnschrift Light" w:eastAsia="Times New Roman" w:hAnsi="Bahnschrift Light" w:cs="Hind"/>
          <w:color w:val="20212B"/>
          <w:sz w:val="24"/>
          <w:szCs w:val="24"/>
          <w:lang w:eastAsia="pl-PL"/>
        </w:rPr>
        <w:t>Pozyskiwaniem i przekazywaniem pracownikom Instytutu informacji dotyczącej możliwości ubiegania się o środki pochodzące z krajowych i zagranicznych źródeł finansowania badań naukowych;</w:t>
      </w:r>
    </w:p>
    <w:p w14:paraId="65E9566A" w14:textId="626E75FF" w:rsidR="006710C8" w:rsidRPr="004B6B00" w:rsidRDefault="006710C8" w:rsidP="006710C8">
      <w:pPr>
        <w:numPr>
          <w:ilvl w:val="0"/>
          <w:numId w:val="8"/>
        </w:numPr>
        <w:shd w:val="clear" w:color="auto" w:fill="FFFFFF"/>
        <w:spacing w:before="100" w:beforeAutospacing="1" w:after="100" w:afterAutospacing="1" w:line="240" w:lineRule="auto"/>
        <w:jc w:val="both"/>
        <w:rPr>
          <w:rFonts w:ascii="Bahnschrift Light" w:eastAsia="Times New Roman" w:hAnsi="Bahnschrift Light" w:cs="Hind"/>
          <w:color w:val="20212B"/>
          <w:sz w:val="24"/>
          <w:szCs w:val="24"/>
          <w:lang w:eastAsia="pl-PL"/>
        </w:rPr>
      </w:pPr>
      <w:r w:rsidRPr="004B6B00">
        <w:rPr>
          <w:rFonts w:ascii="Bahnschrift Light" w:eastAsia="Times New Roman" w:hAnsi="Bahnschrift Light" w:cs="Hind"/>
          <w:color w:val="20212B"/>
          <w:sz w:val="24"/>
          <w:szCs w:val="24"/>
          <w:lang w:eastAsia="pl-PL"/>
        </w:rPr>
        <w:t>Współpracą z pracownikami pozostałych komórek organizacyjnych Instytutu w zakresie kompletowania dokumentacji potrzebnej do ubiegania się o środki na realizację projektów badawczych i infrastrukturalnych;</w:t>
      </w:r>
    </w:p>
    <w:p w14:paraId="43A508E2" w14:textId="0980140F" w:rsidR="006710C8" w:rsidRPr="004B6B00" w:rsidRDefault="006710C8" w:rsidP="006710C8">
      <w:pPr>
        <w:numPr>
          <w:ilvl w:val="0"/>
          <w:numId w:val="8"/>
        </w:numPr>
        <w:shd w:val="clear" w:color="auto" w:fill="FFFFFF"/>
        <w:spacing w:before="100" w:beforeAutospacing="1" w:after="100" w:afterAutospacing="1" w:line="240" w:lineRule="auto"/>
        <w:jc w:val="both"/>
        <w:rPr>
          <w:rFonts w:ascii="Bahnschrift Light" w:eastAsia="Times New Roman" w:hAnsi="Bahnschrift Light" w:cs="Hind"/>
          <w:color w:val="20212B"/>
          <w:sz w:val="24"/>
          <w:szCs w:val="24"/>
          <w:lang w:eastAsia="pl-PL"/>
        </w:rPr>
      </w:pPr>
      <w:r w:rsidRPr="004B6B00">
        <w:rPr>
          <w:rFonts w:ascii="Bahnschrift Light" w:eastAsia="Times New Roman" w:hAnsi="Bahnschrift Light" w:cs="Hind"/>
          <w:color w:val="20212B"/>
          <w:sz w:val="24"/>
          <w:szCs w:val="24"/>
          <w:lang w:eastAsia="pl-PL"/>
        </w:rPr>
        <w:t>Współpracą z pracownikami pozostałych komórek organizacyjnych w zakresie realizacji i rozwoju szeroko rozumianej współpracy międzynarodowej.</w:t>
      </w:r>
    </w:p>
    <w:p w14:paraId="118E42B1" w14:textId="76439A20" w:rsidR="006710C8" w:rsidRPr="004B6B00" w:rsidRDefault="006710C8" w:rsidP="006710C8">
      <w:pPr>
        <w:shd w:val="clear" w:color="auto" w:fill="FFFFFF"/>
        <w:spacing w:before="100" w:beforeAutospacing="1" w:after="100" w:afterAutospacing="1" w:line="240" w:lineRule="auto"/>
        <w:jc w:val="both"/>
        <w:rPr>
          <w:rFonts w:ascii="Bahnschrift Light" w:eastAsia="Times New Roman" w:hAnsi="Bahnschrift Light" w:cs="Hind"/>
          <w:color w:val="20212B"/>
          <w:sz w:val="24"/>
          <w:szCs w:val="24"/>
          <w:lang w:eastAsia="pl-PL"/>
        </w:rPr>
      </w:pPr>
      <w:r w:rsidRPr="004B6B00">
        <w:rPr>
          <w:rFonts w:ascii="Bahnschrift Light" w:eastAsia="Times New Roman" w:hAnsi="Bahnschrift Light" w:cs="Hind"/>
          <w:color w:val="20212B"/>
          <w:sz w:val="24"/>
          <w:szCs w:val="24"/>
          <w:lang w:eastAsia="pl-PL"/>
        </w:rPr>
        <w:t>Biuro Transferu Technologii</w:t>
      </w:r>
      <w:r w:rsidR="00DB059A" w:rsidRPr="004B6B00">
        <w:rPr>
          <w:rFonts w:ascii="Bahnschrift Light" w:eastAsia="Times New Roman" w:hAnsi="Bahnschrift Light" w:cs="Hind"/>
          <w:color w:val="20212B"/>
          <w:sz w:val="24"/>
          <w:szCs w:val="24"/>
          <w:lang w:eastAsia="pl-PL"/>
        </w:rPr>
        <w:t xml:space="preserve"> zajmuje się:</w:t>
      </w:r>
    </w:p>
    <w:p w14:paraId="658C814A" w14:textId="3B18C764" w:rsidR="006710C8" w:rsidRPr="004B6B00" w:rsidRDefault="006710C8" w:rsidP="00DB059A">
      <w:pPr>
        <w:pStyle w:val="Default"/>
        <w:numPr>
          <w:ilvl w:val="0"/>
          <w:numId w:val="9"/>
        </w:numPr>
        <w:jc w:val="both"/>
        <w:rPr>
          <w:rFonts w:ascii="Bahnschrift Light" w:hAnsi="Bahnschrift Light"/>
          <w:color w:val="auto"/>
        </w:rPr>
      </w:pPr>
      <w:r w:rsidRPr="004B6B00">
        <w:rPr>
          <w:rFonts w:ascii="Bahnschrift Light" w:hAnsi="Bahnschrift Light"/>
          <w:color w:val="auto"/>
        </w:rPr>
        <w:t>popularyzacj</w:t>
      </w:r>
      <w:r w:rsidR="00DB059A" w:rsidRPr="004B6B00">
        <w:rPr>
          <w:rFonts w:ascii="Bahnschrift Light" w:hAnsi="Bahnschrift Light"/>
          <w:color w:val="auto"/>
        </w:rPr>
        <w:t>ą</w:t>
      </w:r>
      <w:r w:rsidRPr="004B6B00">
        <w:rPr>
          <w:rFonts w:ascii="Bahnschrift Light" w:hAnsi="Bahnschrift Light"/>
          <w:color w:val="auto"/>
        </w:rPr>
        <w:t xml:space="preserve"> dobrych praktyk w zakresie transferu wiedzy i technologii wśród pracowników i studentów;</w:t>
      </w:r>
    </w:p>
    <w:p w14:paraId="5A48D823" w14:textId="40A61FE5" w:rsidR="006710C8" w:rsidRPr="004B6B00" w:rsidRDefault="006710C8" w:rsidP="00DB059A">
      <w:pPr>
        <w:pStyle w:val="Default"/>
        <w:numPr>
          <w:ilvl w:val="0"/>
          <w:numId w:val="9"/>
        </w:numPr>
        <w:jc w:val="both"/>
        <w:rPr>
          <w:rFonts w:ascii="Bahnschrift Light" w:hAnsi="Bahnschrift Light"/>
          <w:color w:val="auto"/>
        </w:rPr>
      </w:pPr>
      <w:r w:rsidRPr="004B6B00">
        <w:rPr>
          <w:rFonts w:ascii="Bahnschrift Light" w:hAnsi="Bahnschrift Light"/>
          <w:color w:val="auto"/>
        </w:rPr>
        <w:lastRenderedPageBreak/>
        <w:t>wsparcie</w:t>
      </w:r>
      <w:r w:rsidR="00DB059A" w:rsidRPr="004B6B00">
        <w:rPr>
          <w:rFonts w:ascii="Bahnschrift Light" w:hAnsi="Bahnschrift Light"/>
          <w:color w:val="auto"/>
        </w:rPr>
        <w:t>m</w:t>
      </w:r>
      <w:r w:rsidRPr="004B6B00">
        <w:rPr>
          <w:rFonts w:ascii="Bahnschrift Light" w:hAnsi="Bahnschrift Light"/>
          <w:color w:val="auto"/>
        </w:rPr>
        <w:t xml:space="preserve"> w zarządzaniu własnością intelektualną wypracowaną przez naszych naukowców;</w:t>
      </w:r>
    </w:p>
    <w:p w14:paraId="379891E7" w14:textId="02294E80" w:rsidR="006710C8" w:rsidRPr="004B6B00" w:rsidRDefault="006710C8" w:rsidP="00DB059A">
      <w:pPr>
        <w:pStyle w:val="Default"/>
        <w:numPr>
          <w:ilvl w:val="0"/>
          <w:numId w:val="9"/>
        </w:numPr>
        <w:jc w:val="both"/>
        <w:rPr>
          <w:rFonts w:ascii="Bahnschrift Light" w:hAnsi="Bahnschrift Light"/>
          <w:color w:val="auto"/>
        </w:rPr>
      </w:pPr>
      <w:r w:rsidRPr="004B6B00">
        <w:rPr>
          <w:rFonts w:ascii="Bahnschrift Light" w:hAnsi="Bahnschrift Light"/>
          <w:color w:val="auto"/>
        </w:rPr>
        <w:t>koordynacj</w:t>
      </w:r>
      <w:r w:rsidR="00DB059A" w:rsidRPr="004B6B00">
        <w:rPr>
          <w:rFonts w:ascii="Bahnschrift Light" w:hAnsi="Bahnschrift Light"/>
          <w:color w:val="auto"/>
        </w:rPr>
        <w:t>ą</w:t>
      </w:r>
      <w:r w:rsidRPr="004B6B00">
        <w:rPr>
          <w:rFonts w:ascii="Bahnschrift Light" w:hAnsi="Bahnschrift Light"/>
          <w:color w:val="auto"/>
        </w:rPr>
        <w:t xml:space="preserve"> procesu ochrony własności intelektualnej w tym zdobywania ochrony patentowej we współpracy z rzecznikami patentowymi;</w:t>
      </w:r>
    </w:p>
    <w:p w14:paraId="732226ED" w14:textId="05B525FF" w:rsidR="006710C8" w:rsidRPr="004B6B00" w:rsidRDefault="006710C8" w:rsidP="00DB059A">
      <w:pPr>
        <w:pStyle w:val="Default"/>
        <w:numPr>
          <w:ilvl w:val="0"/>
          <w:numId w:val="9"/>
        </w:numPr>
        <w:jc w:val="both"/>
        <w:rPr>
          <w:rFonts w:ascii="Bahnschrift Light" w:hAnsi="Bahnschrift Light"/>
          <w:color w:val="auto"/>
        </w:rPr>
      </w:pPr>
      <w:r w:rsidRPr="004B6B00">
        <w:rPr>
          <w:rFonts w:ascii="Bahnschrift Light" w:hAnsi="Bahnschrift Light"/>
          <w:color w:val="auto"/>
        </w:rPr>
        <w:t>przeprowadzanie</w:t>
      </w:r>
      <w:r w:rsidR="00DB059A" w:rsidRPr="004B6B00">
        <w:rPr>
          <w:rFonts w:ascii="Bahnschrift Light" w:hAnsi="Bahnschrift Light"/>
          <w:color w:val="auto"/>
        </w:rPr>
        <w:t>m</w:t>
      </w:r>
      <w:r w:rsidRPr="004B6B00">
        <w:rPr>
          <w:rFonts w:ascii="Bahnschrift Light" w:hAnsi="Bahnschrift Light"/>
          <w:color w:val="auto"/>
        </w:rPr>
        <w:t xml:space="preserve"> wstępnej oceny potencjału komercyjnego rozwiązania;</w:t>
      </w:r>
    </w:p>
    <w:p w14:paraId="003C5467" w14:textId="117F6289" w:rsidR="006710C8" w:rsidRPr="004B6B00" w:rsidRDefault="006710C8" w:rsidP="00DB059A">
      <w:pPr>
        <w:pStyle w:val="Default"/>
        <w:numPr>
          <w:ilvl w:val="0"/>
          <w:numId w:val="9"/>
        </w:numPr>
        <w:jc w:val="both"/>
        <w:rPr>
          <w:rFonts w:ascii="Bahnschrift Light" w:hAnsi="Bahnschrift Light"/>
          <w:color w:val="auto"/>
        </w:rPr>
      </w:pPr>
      <w:r w:rsidRPr="004B6B00">
        <w:rPr>
          <w:rFonts w:ascii="Bahnschrift Light" w:hAnsi="Bahnschrift Light"/>
          <w:color w:val="auto"/>
        </w:rPr>
        <w:t>funkcjonowanie</w:t>
      </w:r>
      <w:r w:rsidR="00DB059A" w:rsidRPr="004B6B00">
        <w:rPr>
          <w:rFonts w:ascii="Bahnschrift Light" w:hAnsi="Bahnschrift Light"/>
          <w:color w:val="auto"/>
        </w:rPr>
        <w:t>m</w:t>
      </w:r>
      <w:r w:rsidRPr="004B6B00">
        <w:rPr>
          <w:rFonts w:ascii="Bahnschrift Light" w:hAnsi="Bahnschrift Light"/>
          <w:color w:val="auto"/>
        </w:rPr>
        <w:t xml:space="preserve"> jako punkt kontaktu naukowców z przedsiębiorcami i wsparcie w negocjacjach;</w:t>
      </w:r>
    </w:p>
    <w:p w14:paraId="378FD187" w14:textId="5EF3E365" w:rsidR="006710C8" w:rsidRPr="004B6B00" w:rsidRDefault="006710C8" w:rsidP="00DB059A">
      <w:pPr>
        <w:pStyle w:val="Default"/>
        <w:numPr>
          <w:ilvl w:val="0"/>
          <w:numId w:val="9"/>
        </w:numPr>
        <w:jc w:val="both"/>
        <w:rPr>
          <w:rFonts w:ascii="Bahnschrift Light" w:hAnsi="Bahnschrift Light"/>
          <w:color w:val="auto"/>
        </w:rPr>
      </w:pPr>
      <w:r w:rsidRPr="004B6B00">
        <w:rPr>
          <w:rFonts w:ascii="Bahnschrift Light" w:hAnsi="Bahnschrift Light"/>
          <w:color w:val="auto"/>
        </w:rPr>
        <w:t>pomoc</w:t>
      </w:r>
      <w:r w:rsidR="00DB059A" w:rsidRPr="004B6B00">
        <w:rPr>
          <w:rFonts w:ascii="Bahnschrift Light" w:hAnsi="Bahnschrift Light"/>
          <w:color w:val="auto"/>
        </w:rPr>
        <w:t>ą</w:t>
      </w:r>
      <w:r w:rsidRPr="004B6B00">
        <w:rPr>
          <w:rFonts w:ascii="Bahnschrift Light" w:hAnsi="Bahnschrift Light"/>
          <w:color w:val="auto"/>
        </w:rPr>
        <w:t xml:space="preserve"> w poszukiwaniach partnerów biznesowych.</w:t>
      </w:r>
    </w:p>
    <w:p w14:paraId="1B12E879" w14:textId="3BCFCE49" w:rsidR="00E22427" w:rsidRPr="004B6B00" w:rsidRDefault="00E22427" w:rsidP="006710C8">
      <w:pPr>
        <w:pStyle w:val="Default"/>
        <w:jc w:val="both"/>
        <w:rPr>
          <w:rFonts w:ascii="Bahnschrift Light" w:hAnsi="Bahnschrift Light"/>
          <w:color w:val="auto"/>
        </w:rPr>
      </w:pPr>
    </w:p>
    <w:p w14:paraId="3CFBD332" w14:textId="72C5630B" w:rsidR="00DB059A" w:rsidRPr="004B6B00" w:rsidRDefault="00DB059A" w:rsidP="006710C8">
      <w:pPr>
        <w:pStyle w:val="Default"/>
        <w:jc w:val="both"/>
        <w:rPr>
          <w:rFonts w:ascii="Bahnschrift Light" w:hAnsi="Bahnschrift Light"/>
          <w:color w:val="auto"/>
        </w:rPr>
      </w:pPr>
      <w:r w:rsidRPr="004B6B00">
        <w:rPr>
          <w:rFonts w:ascii="Bahnschrift Light" w:hAnsi="Bahnschrift Light"/>
          <w:color w:val="auto"/>
        </w:rPr>
        <w:t>Dział Informatyki</w:t>
      </w:r>
      <w:r w:rsidR="00EA268A" w:rsidRPr="004B6B00">
        <w:rPr>
          <w:rFonts w:ascii="Bahnschrift Light" w:hAnsi="Bahnschrift Light"/>
          <w:color w:val="auto"/>
        </w:rPr>
        <w:t>,</w:t>
      </w:r>
      <w:r w:rsidRPr="004B6B00">
        <w:rPr>
          <w:rFonts w:ascii="Bahnschrift Light" w:hAnsi="Bahnschrift Light"/>
          <w:color w:val="auto"/>
        </w:rPr>
        <w:t xml:space="preserve"> do którego zadań należy m.in.:</w:t>
      </w:r>
    </w:p>
    <w:p w14:paraId="2A28DCBA" w14:textId="7CA88A0F" w:rsidR="00DB059A" w:rsidRPr="004B6B00" w:rsidRDefault="00DB059A" w:rsidP="006710C8">
      <w:pPr>
        <w:pStyle w:val="Default"/>
        <w:jc w:val="both"/>
        <w:rPr>
          <w:rFonts w:ascii="Bahnschrift Light" w:hAnsi="Bahnschrift Light"/>
          <w:color w:val="auto"/>
        </w:rPr>
      </w:pPr>
    </w:p>
    <w:p w14:paraId="7765E002" w14:textId="77777777" w:rsidR="00DB059A" w:rsidRPr="004B6B00" w:rsidRDefault="00DB059A"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Utrzymanie i rozwój istniejących rozwiązań informatycznych w Instytucie oraz zapewnienie ciągłości, bezawaryjności i stabilności infrastruktury IT.</w:t>
      </w:r>
    </w:p>
    <w:p w14:paraId="4958B89B" w14:textId="77777777" w:rsidR="00B6671D" w:rsidRPr="004B6B00" w:rsidRDefault="00B6671D"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Dbanie o bezpieczeństwo informatyczne.</w:t>
      </w:r>
    </w:p>
    <w:p w14:paraId="1A4FA8CF" w14:textId="77777777" w:rsidR="00DB059A" w:rsidRPr="004B6B00" w:rsidRDefault="00DB059A"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Ochrona przed zagrożeniami pochodzącymi z sieci publicznej oraz monitoring parametrów sieciowych i reagowanie na nieprawidłowości.</w:t>
      </w:r>
    </w:p>
    <w:p w14:paraId="7D0BDF3E" w14:textId="77777777" w:rsidR="00DB059A" w:rsidRPr="004B6B00" w:rsidRDefault="00DB059A"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Monitorowanie efektywności działania systemów operacyjnych i usług, parametrów środowiskowych pomieszczeń do optymalnego działania systemów informatycznych, parametrów napięciowych systemów podtrzymujących zasilanie.</w:t>
      </w:r>
    </w:p>
    <w:p w14:paraId="222BB974" w14:textId="77777777" w:rsidR="00DB059A" w:rsidRPr="004B6B00" w:rsidRDefault="00DB059A"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Automatyzacja zadań i tworzenie skryptów integrujących systemy informatyczne.</w:t>
      </w:r>
    </w:p>
    <w:p w14:paraId="0EE5A367" w14:textId="77777777" w:rsidR="00DB059A" w:rsidRPr="004B6B00" w:rsidRDefault="00DB059A"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Rozwiązywanie problemów programistycznych użytkowników.</w:t>
      </w:r>
    </w:p>
    <w:p w14:paraId="1ABA56E7" w14:textId="77777777" w:rsidR="00DB059A" w:rsidRPr="004B6B00" w:rsidRDefault="00DB059A"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Utrzymanie i obsługa programistyczna stron www.</w:t>
      </w:r>
    </w:p>
    <w:p w14:paraId="004F5966" w14:textId="77777777" w:rsidR="00DB059A" w:rsidRPr="004B6B00" w:rsidRDefault="00DB059A"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Utrzymywanie ciągłości pracy systemów.</w:t>
      </w:r>
    </w:p>
    <w:p w14:paraId="7F255D24" w14:textId="021D85DD" w:rsidR="00DB059A" w:rsidRPr="004B6B00" w:rsidRDefault="00DB059A"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Wsparcie administracyjne dla użytkowników.</w:t>
      </w:r>
    </w:p>
    <w:p w14:paraId="72F4F5FA" w14:textId="77777777" w:rsidR="00B6671D" w:rsidRPr="004B6B00" w:rsidRDefault="00B6671D"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Koordynacja i obsługa multimedialna wydarzeń w Instytucie: konferencji, sympozjów naukowych, spotkań i innych imprez, wymagających stosowania urządzeń i technik multimedialnych: nagłośnienia, oświetlenia, realizacji obrazu i dźwięku w transmisjach "na żywo„, prezentacjach multimedialnych.</w:t>
      </w:r>
    </w:p>
    <w:p w14:paraId="3A8D5C13" w14:textId="77777777" w:rsidR="00B6671D" w:rsidRPr="004B6B00" w:rsidRDefault="00B6671D"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Cyfrowa rejestracja i komputerowa edycja sygnałów audio i wideo.</w:t>
      </w:r>
    </w:p>
    <w:p w14:paraId="5C12203D" w14:textId="77777777" w:rsidR="00B6671D" w:rsidRPr="004B6B00" w:rsidRDefault="00B6671D"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Publikowanie treści multimedialnych w mediach społecznościowych i na stronach www Instytutu.</w:t>
      </w:r>
    </w:p>
    <w:p w14:paraId="3E6BAE1C" w14:textId="77777777" w:rsidR="00B6671D" w:rsidRPr="004B6B00" w:rsidRDefault="00B6671D" w:rsidP="00895AEE">
      <w:pPr>
        <w:pStyle w:val="Default"/>
        <w:numPr>
          <w:ilvl w:val="0"/>
          <w:numId w:val="17"/>
        </w:numPr>
        <w:jc w:val="both"/>
        <w:rPr>
          <w:rFonts w:ascii="Bahnschrift Light" w:hAnsi="Bahnschrift Light"/>
          <w:color w:val="auto"/>
        </w:rPr>
      </w:pPr>
      <w:r w:rsidRPr="004B6B00">
        <w:rPr>
          <w:rFonts w:ascii="Bahnschrift Light" w:hAnsi="Bahnschrift Light"/>
          <w:color w:val="auto"/>
        </w:rPr>
        <w:t>Obsługa użytkowników pod kątem bieżących problemów związanych ze sprzętem i oprogramowaniem oraz naprawa i rozbudowa sprzętu.</w:t>
      </w:r>
    </w:p>
    <w:p w14:paraId="41A52FF3" w14:textId="792D4DC0" w:rsidR="00DB059A" w:rsidRPr="004B6B00" w:rsidRDefault="00DB059A" w:rsidP="00DB059A">
      <w:pPr>
        <w:pStyle w:val="Default"/>
        <w:jc w:val="both"/>
        <w:rPr>
          <w:rFonts w:ascii="Bahnschrift Light" w:hAnsi="Bahnschrift Light"/>
          <w:color w:val="auto"/>
        </w:rPr>
      </w:pPr>
    </w:p>
    <w:p w14:paraId="3A5E0945" w14:textId="0F16F6C6" w:rsidR="00955D1D" w:rsidRDefault="00DB059A" w:rsidP="00DB059A">
      <w:pPr>
        <w:pStyle w:val="Default"/>
        <w:jc w:val="both"/>
        <w:rPr>
          <w:rFonts w:ascii="Bahnschrift Light" w:hAnsi="Bahnschrift Light"/>
          <w:color w:val="auto"/>
        </w:rPr>
      </w:pPr>
      <w:r w:rsidRPr="004B6B00">
        <w:rPr>
          <w:rFonts w:ascii="Bahnschrift Light" w:hAnsi="Bahnschrift Light"/>
          <w:color w:val="auto"/>
        </w:rPr>
        <w:t xml:space="preserve">Zwierzętarnia, </w:t>
      </w:r>
      <w:r w:rsidR="00955D1D">
        <w:rPr>
          <w:rFonts w:ascii="Bahnschrift Light" w:hAnsi="Bahnschrift Light"/>
          <w:color w:val="auto"/>
        </w:rPr>
        <w:t xml:space="preserve">do </w:t>
      </w:r>
      <w:r w:rsidRPr="004B6B00">
        <w:rPr>
          <w:rFonts w:ascii="Bahnschrift Light" w:hAnsi="Bahnschrift Light"/>
          <w:color w:val="auto"/>
        </w:rPr>
        <w:t xml:space="preserve">której </w:t>
      </w:r>
      <w:r w:rsidR="00955D1D" w:rsidRPr="004B6B00">
        <w:rPr>
          <w:rFonts w:ascii="Bahnschrift Light" w:hAnsi="Bahnschrift Light"/>
          <w:color w:val="auto"/>
        </w:rPr>
        <w:t>zada</w:t>
      </w:r>
      <w:r w:rsidR="00955D1D">
        <w:rPr>
          <w:rFonts w:ascii="Bahnschrift Light" w:hAnsi="Bahnschrift Light"/>
          <w:color w:val="auto"/>
        </w:rPr>
        <w:t>ń należy m.in.:</w:t>
      </w:r>
    </w:p>
    <w:p w14:paraId="7F05B71C" w14:textId="77777777" w:rsidR="0096725D" w:rsidRDefault="0096725D" w:rsidP="00DB059A">
      <w:pPr>
        <w:pStyle w:val="Default"/>
        <w:jc w:val="both"/>
        <w:rPr>
          <w:rFonts w:ascii="Bahnschrift Light" w:hAnsi="Bahnschrift Light"/>
          <w:color w:val="auto"/>
        </w:rPr>
      </w:pPr>
    </w:p>
    <w:p w14:paraId="12310DA6" w14:textId="06C75515" w:rsidR="00955D1D" w:rsidRDefault="00955D1D" w:rsidP="00955D1D">
      <w:pPr>
        <w:pStyle w:val="Default"/>
        <w:numPr>
          <w:ilvl w:val="0"/>
          <w:numId w:val="18"/>
        </w:numPr>
        <w:jc w:val="both"/>
        <w:rPr>
          <w:rFonts w:ascii="Bahnschrift Light" w:hAnsi="Bahnschrift Light"/>
          <w:color w:val="auto"/>
        </w:rPr>
      </w:pPr>
      <w:r>
        <w:rPr>
          <w:rFonts w:ascii="Bahnschrift Light" w:hAnsi="Bahnschrift Light"/>
          <w:color w:val="auto"/>
        </w:rPr>
        <w:t>Prowadzenie hodowli zwierząt laboratoryjnych zgodnie z obowiązującymi standardami i przepisami</w:t>
      </w:r>
    </w:p>
    <w:p w14:paraId="5A0CB2BD" w14:textId="2817B6E2" w:rsidR="00DB059A" w:rsidRPr="004B6B00" w:rsidRDefault="00955D1D" w:rsidP="00895AEE">
      <w:pPr>
        <w:pStyle w:val="Default"/>
        <w:numPr>
          <w:ilvl w:val="0"/>
          <w:numId w:val="18"/>
        </w:numPr>
        <w:jc w:val="both"/>
        <w:rPr>
          <w:rFonts w:ascii="Bahnschrift Light" w:hAnsi="Bahnschrift Light"/>
          <w:color w:val="auto"/>
        </w:rPr>
      </w:pPr>
      <w:r>
        <w:rPr>
          <w:rFonts w:ascii="Bahnschrift Light" w:hAnsi="Bahnschrift Light"/>
          <w:color w:val="auto"/>
        </w:rPr>
        <w:t>U</w:t>
      </w:r>
      <w:r w:rsidR="00DB059A" w:rsidRPr="004B6B00">
        <w:rPr>
          <w:rFonts w:ascii="Bahnschrift Light" w:hAnsi="Bahnschrift Light"/>
          <w:color w:val="auto"/>
        </w:rPr>
        <w:t>trzym</w:t>
      </w:r>
      <w:r>
        <w:rPr>
          <w:rFonts w:ascii="Bahnschrift Light" w:hAnsi="Bahnschrift Light"/>
          <w:color w:val="auto"/>
        </w:rPr>
        <w:t>yw</w:t>
      </w:r>
      <w:r w:rsidR="00DB059A" w:rsidRPr="004B6B00">
        <w:rPr>
          <w:rFonts w:ascii="Bahnschrift Light" w:hAnsi="Bahnschrift Light"/>
          <w:color w:val="auto"/>
        </w:rPr>
        <w:t>anie dobrostanu zwierząt na najwyższym poziomie, co jest gwarantem powtarzalności i wiarygodności otrzymywanych wyników.</w:t>
      </w:r>
    </w:p>
    <w:p w14:paraId="2025EE10" w14:textId="6A2AA52A" w:rsidR="00DB059A" w:rsidRPr="004B6B00" w:rsidRDefault="00DB059A" w:rsidP="00DB059A">
      <w:pPr>
        <w:pStyle w:val="Default"/>
        <w:jc w:val="both"/>
        <w:rPr>
          <w:rFonts w:ascii="Bahnschrift Light" w:hAnsi="Bahnschrift Light"/>
          <w:color w:val="auto"/>
        </w:rPr>
      </w:pPr>
    </w:p>
    <w:p w14:paraId="010F35CC" w14:textId="182BD707" w:rsidR="00DB059A" w:rsidRPr="004B6B00" w:rsidRDefault="00DB059A" w:rsidP="00DB059A">
      <w:pPr>
        <w:pStyle w:val="Default"/>
        <w:jc w:val="both"/>
        <w:rPr>
          <w:rFonts w:ascii="Bahnschrift Light" w:hAnsi="Bahnschrift Light"/>
          <w:color w:val="auto"/>
        </w:rPr>
      </w:pPr>
      <w:r w:rsidRPr="004B6B00">
        <w:rPr>
          <w:rFonts w:ascii="Bahnschrift Light" w:hAnsi="Bahnschrift Light"/>
          <w:color w:val="auto"/>
        </w:rPr>
        <w:t>Instytut posiada także własne wydawnictwo</w:t>
      </w:r>
      <w:r w:rsidR="00955D1D">
        <w:rPr>
          <w:rFonts w:ascii="Bahnschrift Light" w:hAnsi="Bahnschrift Light"/>
          <w:color w:val="auto"/>
        </w:rPr>
        <w:t xml:space="preserve"> </w:t>
      </w:r>
      <w:r w:rsidR="00955D1D" w:rsidRPr="004B6B00">
        <w:rPr>
          <w:rFonts w:ascii="Bahnschrift Light" w:hAnsi="Bahnschrift Light"/>
          <w:color w:val="auto"/>
        </w:rPr>
        <w:t xml:space="preserve">Acta </w:t>
      </w:r>
      <w:proofErr w:type="spellStart"/>
      <w:r w:rsidR="00955D1D" w:rsidRPr="004B6B00">
        <w:rPr>
          <w:rFonts w:ascii="Bahnschrift Light" w:hAnsi="Bahnschrift Light"/>
          <w:color w:val="auto"/>
        </w:rPr>
        <w:t>Neurobiologiae</w:t>
      </w:r>
      <w:proofErr w:type="spellEnd"/>
      <w:r w:rsidR="00955D1D" w:rsidRPr="004B6B00">
        <w:rPr>
          <w:rFonts w:ascii="Bahnschrift Light" w:hAnsi="Bahnschrift Light"/>
          <w:color w:val="auto"/>
        </w:rPr>
        <w:t xml:space="preserve"> </w:t>
      </w:r>
      <w:proofErr w:type="spellStart"/>
      <w:r w:rsidR="00955D1D" w:rsidRPr="004B6B00">
        <w:rPr>
          <w:rFonts w:ascii="Bahnschrift Light" w:hAnsi="Bahnschrift Light"/>
          <w:color w:val="auto"/>
        </w:rPr>
        <w:t>Experimentalis</w:t>
      </w:r>
      <w:proofErr w:type="spellEnd"/>
      <w:r w:rsidR="00955D1D">
        <w:rPr>
          <w:rFonts w:ascii="Bahnschrift Light" w:hAnsi="Bahnschrift Light"/>
          <w:color w:val="auto"/>
        </w:rPr>
        <w:t xml:space="preserve"> (wcześniej, do roku 1969, </w:t>
      </w:r>
      <w:r w:rsidR="00955D1D" w:rsidRPr="004B6B00">
        <w:rPr>
          <w:rFonts w:ascii="Bahnschrift Light" w:hAnsi="Bahnschrift Light"/>
          <w:color w:val="auto"/>
        </w:rPr>
        <w:t xml:space="preserve">Acta </w:t>
      </w:r>
      <w:proofErr w:type="spellStart"/>
      <w:r w:rsidR="00955D1D" w:rsidRPr="004B6B00">
        <w:rPr>
          <w:rFonts w:ascii="Bahnschrift Light" w:hAnsi="Bahnschrift Light"/>
          <w:color w:val="auto"/>
        </w:rPr>
        <w:t>Biologiae</w:t>
      </w:r>
      <w:proofErr w:type="spellEnd"/>
      <w:r w:rsidR="00955D1D" w:rsidRPr="004B6B00">
        <w:rPr>
          <w:rFonts w:ascii="Bahnschrift Light" w:hAnsi="Bahnschrift Light"/>
          <w:color w:val="auto"/>
        </w:rPr>
        <w:t xml:space="preserve"> </w:t>
      </w:r>
      <w:proofErr w:type="spellStart"/>
      <w:r w:rsidR="00955D1D" w:rsidRPr="004B6B00">
        <w:rPr>
          <w:rFonts w:ascii="Bahnschrift Light" w:hAnsi="Bahnschrift Light"/>
          <w:color w:val="auto"/>
        </w:rPr>
        <w:t>Experimentalis</w:t>
      </w:r>
      <w:proofErr w:type="spellEnd"/>
      <w:r w:rsidR="00955D1D">
        <w:rPr>
          <w:rFonts w:ascii="Bahnschrift Light" w:hAnsi="Bahnschrift Light"/>
          <w:color w:val="auto"/>
        </w:rPr>
        <w:t>)</w:t>
      </w:r>
      <w:r w:rsidRPr="004B6B00">
        <w:rPr>
          <w:rFonts w:ascii="Bahnschrift Light" w:hAnsi="Bahnschrift Light"/>
          <w:color w:val="auto"/>
        </w:rPr>
        <w:t xml:space="preserve"> wydawane nieprzerwanie (z wyjątkiem lat wojennych) niemal od początku istnienia Instytutu</w:t>
      </w:r>
      <w:r w:rsidR="00955D1D">
        <w:rPr>
          <w:rFonts w:ascii="Bahnschrift Light" w:hAnsi="Bahnschrift Light"/>
          <w:color w:val="auto"/>
        </w:rPr>
        <w:t>.</w:t>
      </w:r>
    </w:p>
    <w:p w14:paraId="2E6B4D45" w14:textId="194E9B52" w:rsidR="00DB059A" w:rsidRDefault="00DB059A" w:rsidP="006710C8">
      <w:pPr>
        <w:pStyle w:val="Default"/>
        <w:jc w:val="both"/>
        <w:rPr>
          <w:rFonts w:ascii="Bahnschrift Light" w:hAnsi="Bahnschrift Light"/>
          <w:color w:val="auto"/>
        </w:rPr>
      </w:pPr>
    </w:p>
    <w:p w14:paraId="77A94CDC" w14:textId="34F69D57" w:rsidR="0096725D" w:rsidRDefault="0096725D" w:rsidP="006710C8">
      <w:pPr>
        <w:pStyle w:val="Default"/>
        <w:jc w:val="both"/>
        <w:rPr>
          <w:rFonts w:ascii="Bahnschrift Light" w:hAnsi="Bahnschrift Light"/>
          <w:color w:val="auto"/>
        </w:rPr>
      </w:pPr>
    </w:p>
    <w:p w14:paraId="73FEF189" w14:textId="77777777" w:rsidR="0096725D" w:rsidRPr="004B6B00" w:rsidRDefault="0096725D" w:rsidP="006710C8">
      <w:pPr>
        <w:pStyle w:val="Default"/>
        <w:jc w:val="both"/>
        <w:rPr>
          <w:rFonts w:ascii="Bahnschrift Light" w:hAnsi="Bahnschrift Light"/>
          <w:color w:val="auto"/>
        </w:rPr>
      </w:pPr>
    </w:p>
    <w:p w14:paraId="55090FA8" w14:textId="77777777" w:rsidR="00E22427" w:rsidRPr="004B6B00" w:rsidRDefault="00E22427" w:rsidP="006C0A84">
      <w:pPr>
        <w:pStyle w:val="Nagwek3"/>
      </w:pPr>
      <w:bookmarkStart w:id="5" w:name="_Toc189226035"/>
      <w:r w:rsidRPr="004B6B00">
        <w:lastRenderedPageBreak/>
        <w:t>1.2.3 Administracja</w:t>
      </w:r>
      <w:bookmarkEnd w:id="5"/>
    </w:p>
    <w:p w14:paraId="0D2BB7A6" w14:textId="57AA7D77" w:rsidR="00E22427" w:rsidRPr="004B6B00" w:rsidRDefault="00E22427" w:rsidP="006710C8">
      <w:pPr>
        <w:pStyle w:val="Default"/>
        <w:jc w:val="both"/>
        <w:rPr>
          <w:rFonts w:ascii="Bahnschrift Light" w:hAnsi="Bahnschrift Light"/>
          <w:color w:val="auto"/>
        </w:rPr>
      </w:pPr>
    </w:p>
    <w:p w14:paraId="604DB639" w14:textId="5F5E97AA" w:rsidR="00DB059A" w:rsidRPr="004B6B00" w:rsidRDefault="00DB059A" w:rsidP="00DB059A">
      <w:pPr>
        <w:pStyle w:val="Default"/>
        <w:jc w:val="both"/>
        <w:rPr>
          <w:rFonts w:ascii="Bahnschrift Light" w:hAnsi="Bahnschrift Light"/>
          <w:color w:val="auto"/>
        </w:rPr>
      </w:pPr>
      <w:r w:rsidRPr="004B6B00">
        <w:rPr>
          <w:rFonts w:ascii="Bahnschrift Light" w:hAnsi="Bahnschrift Light"/>
          <w:color w:val="auto"/>
        </w:rPr>
        <w:t>Dział Spraw Pracowniczych i Rekrutacji</w:t>
      </w:r>
      <w:r w:rsidRPr="004B6B00">
        <w:rPr>
          <w:rFonts w:ascii="Bahnschrift Light" w:hAnsi="Bahnschrift Light"/>
        </w:rPr>
        <w:t xml:space="preserve"> </w:t>
      </w:r>
      <w:r w:rsidRPr="004B6B00">
        <w:rPr>
          <w:rFonts w:ascii="Bahnschrift Light" w:hAnsi="Bahnschrift Light"/>
          <w:color w:val="auto"/>
        </w:rPr>
        <w:t>zajmuje się sprawami pracowników i doktorantów od momentu rekrutacji przez cały okres zatrudnienia i kształcenia.</w:t>
      </w:r>
    </w:p>
    <w:p w14:paraId="682EE35A" w14:textId="2A3F20C7" w:rsidR="00DB059A" w:rsidRPr="004B6B00" w:rsidRDefault="00DB059A" w:rsidP="00DB059A">
      <w:pPr>
        <w:pStyle w:val="Default"/>
        <w:jc w:val="both"/>
        <w:rPr>
          <w:rFonts w:ascii="Bahnschrift Light" w:hAnsi="Bahnschrift Light"/>
          <w:color w:val="auto"/>
        </w:rPr>
      </w:pPr>
      <w:r w:rsidRPr="004B6B00">
        <w:rPr>
          <w:rFonts w:ascii="Bahnschrift Light" w:hAnsi="Bahnschrift Light"/>
          <w:color w:val="auto"/>
        </w:rPr>
        <w:t>Główny obszar działań to m</w:t>
      </w:r>
      <w:r w:rsidR="00971390" w:rsidRPr="004B6B00">
        <w:rPr>
          <w:rFonts w:ascii="Bahnschrift Light" w:hAnsi="Bahnschrift Light"/>
          <w:color w:val="auto"/>
        </w:rPr>
        <w:t>.</w:t>
      </w:r>
      <w:r w:rsidRPr="004B6B00">
        <w:rPr>
          <w:rFonts w:ascii="Bahnschrift Light" w:hAnsi="Bahnschrift Light"/>
          <w:color w:val="auto"/>
        </w:rPr>
        <w:t>in</w:t>
      </w:r>
      <w:r w:rsidR="00971390" w:rsidRPr="004B6B00">
        <w:rPr>
          <w:rFonts w:ascii="Bahnschrift Light" w:hAnsi="Bahnschrift Light"/>
          <w:color w:val="auto"/>
        </w:rPr>
        <w:t>.</w:t>
      </w:r>
      <w:r w:rsidRPr="004B6B00">
        <w:rPr>
          <w:rFonts w:ascii="Bahnschrift Light" w:hAnsi="Bahnschrift Light"/>
          <w:color w:val="auto"/>
        </w:rPr>
        <w:t>:</w:t>
      </w:r>
    </w:p>
    <w:p w14:paraId="69D4EB0E" w14:textId="77777777" w:rsidR="00DB059A" w:rsidRPr="004B6B00" w:rsidRDefault="00DB059A" w:rsidP="00DB059A">
      <w:pPr>
        <w:pStyle w:val="Default"/>
        <w:numPr>
          <w:ilvl w:val="0"/>
          <w:numId w:val="10"/>
        </w:numPr>
        <w:jc w:val="both"/>
        <w:rPr>
          <w:rFonts w:ascii="Bahnschrift Light" w:hAnsi="Bahnschrift Light"/>
          <w:color w:val="auto"/>
        </w:rPr>
      </w:pPr>
      <w:r w:rsidRPr="004B6B00">
        <w:rPr>
          <w:rFonts w:ascii="Bahnschrift Light" w:hAnsi="Bahnschrift Light"/>
          <w:color w:val="auto"/>
        </w:rPr>
        <w:t>administrowanie sprawami kadrowymi Instytutu zgodnie z obowiązującymi przepisami</w:t>
      </w:r>
    </w:p>
    <w:p w14:paraId="284A5F7D" w14:textId="77777777" w:rsidR="00DB059A" w:rsidRPr="004B6B00" w:rsidRDefault="00DB059A" w:rsidP="00DB059A">
      <w:pPr>
        <w:pStyle w:val="Default"/>
        <w:numPr>
          <w:ilvl w:val="0"/>
          <w:numId w:val="10"/>
        </w:numPr>
        <w:jc w:val="both"/>
        <w:rPr>
          <w:rFonts w:ascii="Bahnschrift Light" w:hAnsi="Bahnschrift Light"/>
          <w:color w:val="auto"/>
        </w:rPr>
      </w:pPr>
      <w:r w:rsidRPr="004B6B00">
        <w:rPr>
          <w:rFonts w:ascii="Bahnschrift Light" w:hAnsi="Bahnschrift Light"/>
          <w:color w:val="auto"/>
        </w:rPr>
        <w:t>prowadzenie spraw socjalnych pracowników i emerytów oraz koordynacja działań sportowych, kulturalnych oraz opieki medycznej</w:t>
      </w:r>
    </w:p>
    <w:p w14:paraId="483E0B5D" w14:textId="77777777" w:rsidR="00DB059A" w:rsidRPr="004B6B00" w:rsidRDefault="00DB059A" w:rsidP="00DB059A">
      <w:pPr>
        <w:pStyle w:val="Default"/>
        <w:numPr>
          <w:ilvl w:val="0"/>
          <w:numId w:val="10"/>
        </w:numPr>
        <w:jc w:val="both"/>
        <w:rPr>
          <w:rFonts w:ascii="Bahnschrift Light" w:hAnsi="Bahnschrift Light"/>
          <w:color w:val="auto"/>
        </w:rPr>
      </w:pPr>
      <w:r w:rsidRPr="004B6B00">
        <w:rPr>
          <w:rFonts w:ascii="Bahnschrift Light" w:hAnsi="Bahnschrift Light"/>
          <w:color w:val="auto"/>
        </w:rPr>
        <w:t>wsparcie cudzoziemców pracowników i doktorantów w zakresie legalizacji pobytu i pracy oraz ich adaptacji w Polsce</w:t>
      </w:r>
    </w:p>
    <w:p w14:paraId="0F46B72B" w14:textId="77777777" w:rsidR="00DB059A" w:rsidRPr="004B6B00" w:rsidRDefault="00DB059A" w:rsidP="00DB059A">
      <w:pPr>
        <w:pStyle w:val="Default"/>
        <w:numPr>
          <w:ilvl w:val="0"/>
          <w:numId w:val="10"/>
        </w:numPr>
        <w:jc w:val="both"/>
        <w:rPr>
          <w:rFonts w:ascii="Bahnschrift Light" w:hAnsi="Bahnschrift Light"/>
          <w:color w:val="auto"/>
        </w:rPr>
      </w:pPr>
      <w:r w:rsidRPr="004B6B00">
        <w:rPr>
          <w:rFonts w:ascii="Bahnschrift Light" w:hAnsi="Bahnschrift Light"/>
          <w:color w:val="auto"/>
        </w:rPr>
        <w:t>prowadzenie sekretariatu studiów doktoranckich oraz szkoły doktorskiej</w:t>
      </w:r>
    </w:p>
    <w:p w14:paraId="107D7C54" w14:textId="26EDB1EE" w:rsidR="00E22427" w:rsidRPr="004B6B00" w:rsidRDefault="00DB059A" w:rsidP="00DB059A">
      <w:pPr>
        <w:pStyle w:val="Default"/>
        <w:numPr>
          <w:ilvl w:val="0"/>
          <w:numId w:val="10"/>
        </w:numPr>
        <w:jc w:val="both"/>
        <w:rPr>
          <w:rFonts w:ascii="Bahnschrift Light" w:hAnsi="Bahnschrift Light"/>
          <w:color w:val="auto"/>
        </w:rPr>
      </w:pPr>
      <w:r w:rsidRPr="004B6B00">
        <w:rPr>
          <w:rFonts w:ascii="Bahnschrift Light" w:hAnsi="Bahnschrift Light"/>
          <w:color w:val="auto"/>
        </w:rPr>
        <w:t>obsługa administracyjna posiedzeń Rady Naukowej</w:t>
      </w:r>
    </w:p>
    <w:p w14:paraId="15EBA10B" w14:textId="0B8DE084" w:rsidR="00DB059A" w:rsidRPr="004B6B00" w:rsidRDefault="00DB059A" w:rsidP="006710C8">
      <w:pPr>
        <w:pStyle w:val="Default"/>
        <w:jc w:val="both"/>
        <w:rPr>
          <w:rFonts w:ascii="Bahnschrift Light" w:hAnsi="Bahnschrift Light"/>
          <w:color w:val="auto"/>
        </w:rPr>
      </w:pPr>
    </w:p>
    <w:p w14:paraId="6C1B58F0" w14:textId="77777777" w:rsidR="00197F97" w:rsidRDefault="00DB059A" w:rsidP="006710C8">
      <w:pPr>
        <w:pStyle w:val="Default"/>
        <w:jc w:val="both"/>
        <w:rPr>
          <w:rFonts w:ascii="Bahnschrift Light" w:hAnsi="Bahnschrift Light"/>
          <w:color w:val="auto"/>
        </w:rPr>
      </w:pPr>
      <w:r w:rsidRPr="004B6B00">
        <w:rPr>
          <w:rFonts w:ascii="Bahnschrift Light" w:hAnsi="Bahnschrift Light"/>
          <w:color w:val="auto"/>
        </w:rPr>
        <w:t>Dział finansowo-księgowy</w:t>
      </w:r>
      <w:r w:rsidR="00B6671D" w:rsidRPr="004B6B00">
        <w:rPr>
          <w:rFonts w:ascii="Bahnschrift Light" w:hAnsi="Bahnschrift Light"/>
          <w:color w:val="auto"/>
        </w:rPr>
        <w:t xml:space="preserve"> </w:t>
      </w:r>
      <w:r w:rsidRPr="004B6B00">
        <w:rPr>
          <w:rFonts w:ascii="Bahnschrift Light" w:hAnsi="Bahnschrift Light"/>
          <w:color w:val="auto"/>
        </w:rPr>
        <w:t>zapewnia</w:t>
      </w:r>
      <w:r w:rsidR="00197F97">
        <w:rPr>
          <w:rFonts w:ascii="Bahnschrift Light" w:hAnsi="Bahnschrift Light"/>
          <w:color w:val="auto"/>
        </w:rPr>
        <w:t>:</w:t>
      </w:r>
    </w:p>
    <w:p w14:paraId="12182D1F" w14:textId="3B2EBAEE" w:rsidR="00197F97" w:rsidRDefault="00DB059A" w:rsidP="00895AEE">
      <w:pPr>
        <w:pStyle w:val="Default"/>
        <w:numPr>
          <w:ilvl w:val="0"/>
          <w:numId w:val="19"/>
        </w:numPr>
        <w:jc w:val="both"/>
        <w:rPr>
          <w:rFonts w:ascii="Bahnschrift Light" w:hAnsi="Bahnschrift Light"/>
          <w:color w:val="auto"/>
        </w:rPr>
      </w:pPr>
      <w:r w:rsidRPr="004B6B00">
        <w:rPr>
          <w:rFonts w:ascii="Bahnschrift Light" w:hAnsi="Bahnschrift Light"/>
          <w:color w:val="auto"/>
        </w:rPr>
        <w:t>obsługę księgową Instytutu</w:t>
      </w:r>
    </w:p>
    <w:p w14:paraId="3942F70A" w14:textId="0AC5FE1A" w:rsidR="00197F97" w:rsidRDefault="00DB059A" w:rsidP="00895AEE">
      <w:pPr>
        <w:pStyle w:val="Default"/>
        <w:numPr>
          <w:ilvl w:val="0"/>
          <w:numId w:val="19"/>
        </w:numPr>
        <w:jc w:val="both"/>
        <w:rPr>
          <w:rFonts w:ascii="Bahnschrift Light" w:hAnsi="Bahnschrift Light"/>
          <w:color w:val="auto"/>
        </w:rPr>
      </w:pPr>
      <w:r w:rsidRPr="004B6B00">
        <w:rPr>
          <w:rFonts w:ascii="Bahnschrift Light" w:hAnsi="Bahnschrift Light"/>
          <w:color w:val="auto"/>
        </w:rPr>
        <w:t>ekspertyzę finansową i pomoc w zarządzaniu funduszami badawczymi</w:t>
      </w:r>
    </w:p>
    <w:p w14:paraId="5CEAE04C" w14:textId="68B1E36A" w:rsidR="00DB059A" w:rsidRPr="004B6B00" w:rsidRDefault="00DB059A" w:rsidP="00895AEE">
      <w:pPr>
        <w:pStyle w:val="Default"/>
        <w:numPr>
          <w:ilvl w:val="0"/>
          <w:numId w:val="19"/>
        </w:numPr>
        <w:jc w:val="both"/>
        <w:rPr>
          <w:rFonts w:ascii="Bahnschrift Light" w:hAnsi="Bahnschrift Light"/>
          <w:color w:val="auto"/>
        </w:rPr>
      </w:pPr>
      <w:r w:rsidRPr="004B6B00">
        <w:rPr>
          <w:rFonts w:ascii="Bahnschrift Light" w:hAnsi="Bahnschrift Light"/>
          <w:color w:val="auto"/>
        </w:rPr>
        <w:t>zachowanie przejrzystości finansów i gospodarowania zasobami finansowymi Instytutu zgodnie z Prawem Zamówień Publicznych.</w:t>
      </w:r>
    </w:p>
    <w:p w14:paraId="3D43E7B6" w14:textId="711D0F26" w:rsidR="00DB059A" w:rsidRPr="004B6B00" w:rsidRDefault="00DB059A" w:rsidP="006710C8">
      <w:pPr>
        <w:pStyle w:val="Default"/>
        <w:jc w:val="both"/>
        <w:rPr>
          <w:rFonts w:ascii="Bahnschrift Light" w:hAnsi="Bahnschrift Light"/>
          <w:color w:val="auto"/>
        </w:rPr>
      </w:pPr>
    </w:p>
    <w:p w14:paraId="02DB2370" w14:textId="0BAD2FFF" w:rsidR="00DB059A" w:rsidRPr="004B6B00" w:rsidRDefault="00DB059A" w:rsidP="006710C8">
      <w:pPr>
        <w:pStyle w:val="Default"/>
        <w:jc w:val="both"/>
        <w:rPr>
          <w:rFonts w:ascii="Bahnschrift Light" w:hAnsi="Bahnschrift Light"/>
          <w:color w:val="auto"/>
        </w:rPr>
      </w:pPr>
      <w:r w:rsidRPr="004B6B00">
        <w:rPr>
          <w:rFonts w:ascii="Bahnschrift Light" w:hAnsi="Bahnschrift Light"/>
          <w:color w:val="auto"/>
        </w:rPr>
        <w:t>D</w:t>
      </w:r>
      <w:r w:rsidR="00A72F4B" w:rsidRPr="004B6B00">
        <w:rPr>
          <w:rFonts w:ascii="Bahnschrift Light" w:hAnsi="Bahnschrift Light"/>
          <w:color w:val="auto"/>
        </w:rPr>
        <w:t>o</w:t>
      </w:r>
      <w:r w:rsidRPr="004B6B00">
        <w:rPr>
          <w:rFonts w:ascii="Bahnschrift Light" w:hAnsi="Bahnschrift Light"/>
          <w:color w:val="auto"/>
        </w:rPr>
        <w:t xml:space="preserve"> </w:t>
      </w:r>
      <w:r w:rsidR="00D177E4" w:rsidRPr="004B6B00">
        <w:rPr>
          <w:rFonts w:ascii="Bahnschrift Light" w:hAnsi="Bahnschrift Light"/>
          <w:color w:val="auto"/>
        </w:rPr>
        <w:t>zada</w:t>
      </w:r>
      <w:r w:rsidR="00A72F4B" w:rsidRPr="004B6B00">
        <w:rPr>
          <w:rFonts w:ascii="Bahnschrift Light" w:hAnsi="Bahnschrift Light"/>
          <w:color w:val="auto"/>
        </w:rPr>
        <w:t xml:space="preserve">ń Działu </w:t>
      </w:r>
      <w:r w:rsidRPr="004B6B00">
        <w:rPr>
          <w:rFonts w:ascii="Bahnschrift Light" w:hAnsi="Bahnschrift Light"/>
          <w:color w:val="auto"/>
        </w:rPr>
        <w:t>Zamówień Publicznych i Zaopatrzenia</w:t>
      </w:r>
      <w:r w:rsidR="00A72F4B" w:rsidRPr="004B6B00">
        <w:rPr>
          <w:rFonts w:ascii="Bahnschrift Light" w:hAnsi="Bahnschrift Light"/>
          <w:color w:val="auto"/>
        </w:rPr>
        <w:t xml:space="preserve"> należy:</w:t>
      </w:r>
    </w:p>
    <w:p w14:paraId="76AE3B07" w14:textId="0A421E73" w:rsidR="00DB059A" w:rsidRPr="004B6B00" w:rsidRDefault="00DB059A" w:rsidP="006710C8">
      <w:pPr>
        <w:pStyle w:val="Default"/>
        <w:jc w:val="both"/>
        <w:rPr>
          <w:rFonts w:ascii="Bahnschrift Light" w:hAnsi="Bahnschrift Light"/>
          <w:color w:val="auto"/>
        </w:rPr>
      </w:pPr>
    </w:p>
    <w:p w14:paraId="40E92C71" w14:textId="77777777" w:rsidR="00D177E4" w:rsidRPr="004B6B00" w:rsidRDefault="00D177E4" w:rsidP="00A72F4B">
      <w:pPr>
        <w:numPr>
          <w:ilvl w:val="0"/>
          <w:numId w:val="15"/>
        </w:numPr>
        <w:pBdr>
          <w:top w:val="nil"/>
          <w:left w:val="nil"/>
          <w:bottom w:val="nil"/>
          <w:right w:val="nil"/>
          <w:between w:val="nil"/>
        </w:pBdr>
        <w:spacing w:after="0" w:line="240" w:lineRule="auto"/>
        <w:jc w:val="both"/>
        <w:rPr>
          <w:rFonts w:ascii="Bahnschrift Light" w:hAnsi="Bahnschrift Light"/>
          <w:color w:val="000000"/>
          <w:sz w:val="24"/>
          <w:szCs w:val="24"/>
        </w:rPr>
      </w:pPr>
      <w:r w:rsidRPr="004B6B00">
        <w:rPr>
          <w:rFonts w:ascii="Bahnschrift Light" w:hAnsi="Bahnschrift Light"/>
          <w:sz w:val="24"/>
          <w:szCs w:val="24"/>
        </w:rPr>
        <w:t>b</w:t>
      </w:r>
      <w:r w:rsidRPr="004B6B00">
        <w:rPr>
          <w:rFonts w:ascii="Bahnschrift Light" w:hAnsi="Bahnschrift Light"/>
          <w:color w:val="000000"/>
          <w:sz w:val="24"/>
          <w:szCs w:val="24"/>
        </w:rPr>
        <w:t>ieżący nadzór nad prowadzonymi postępowaniami o udzielenie zamówienia publicznego w Instytucie oraz weryfikacja dokumentacji z prowadzonych postępowań o udzielenie zamówienia publicznego pod względem zgodności z obowiązującymi przepisami</w:t>
      </w:r>
      <w:r w:rsidRPr="004B6B00">
        <w:rPr>
          <w:rFonts w:ascii="Bahnschrift Light" w:hAnsi="Bahnschrift Light"/>
          <w:sz w:val="24"/>
          <w:szCs w:val="24"/>
        </w:rPr>
        <w:t>;</w:t>
      </w:r>
    </w:p>
    <w:p w14:paraId="4C5ABC46" w14:textId="77777777" w:rsidR="00D177E4" w:rsidRPr="004B6B00" w:rsidRDefault="00D177E4" w:rsidP="00A72F4B">
      <w:pPr>
        <w:numPr>
          <w:ilvl w:val="0"/>
          <w:numId w:val="15"/>
        </w:numPr>
        <w:pBdr>
          <w:top w:val="nil"/>
          <w:left w:val="nil"/>
          <w:bottom w:val="nil"/>
          <w:right w:val="nil"/>
          <w:between w:val="nil"/>
        </w:pBdr>
        <w:spacing w:after="0" w:line="240" w:lineRule="auto"/>
        <w:jc w:val="both"/>
        <w:rPr>
          <w:rFonts w:ascii="Bahnschrift Light" w:hAnsi="Bahnschrift Light"/>
          <w:color w:val="000000"/>
          <w:sz w:val="24"/>
          <w:szCs w:val="24"/>
        </w:rPr>
      </w:pPr>
      <w:r w:rsidRPr="004B6B00">
        <w:rPr>
          <w:rFonts w:ascii="Bahnschrift Light" w:hAnsi="Bahnschrift Light"/>
          <w:sz w:val="24"/>
          <w:szCs w:val="24"/>
        </w:rPr>
        <w:t>u</w:t>
      </w:r>
      <w:r w:rsidRPr="004B6B00">
        <w:rPr>
          <w:rFonts w:ascii="Bahnschrift Light" w:hAnsi="Bahnschrift Light"/>
          <w:color w:val="000000"/>
          <w:sz w:val="24"/>
          <w:szCs w:val="24"/>
        </w:rPr>
        <w:t>dział w przygotowaniu dokumentacji przetargowych, w tym specyfikacji istotnych warunków zamówienia</w:t>
      </w:r>
      <w:r w:rsidRPr="004B6B00">
        <w:rPr>
          <w:rFonts w:ascii="Bahnschrift Light" w:hAnsi="Bahnschrift Light"/>
          <w:sz w:val="24"/>
          <w:szCs w:val="24"/>
        </w:rPr>
        <w:t>;</w:t>
      </w:r>
    </w:p>
    <w:p w14:paraId="6FE60967" w14:textId="77777777" w:rsidR="00D177E4" w:rsidRPr="004B6B00" w:rsidRDefault="00D177E4" w:rsidP="00A72F4B">
      <w:pPr>
        <w:numPr>
          <w:ilvl w:val="0"/>
          <w:numId w:val="15"/>
        </w:numPr>
        <w:pBdr>
          <w:top w:val="nil"/>
          <w:left w:val="nil"/>
          <w:bottom w:val="nil"/>
          <w:right w:val="nil"/>
          <w:between w:val="nil"/>
        </w:pBdr>
        <w:spacing w:after="0" w:line="240" w:lineRule="auto"/>
        <w:jc w:val="both"/>
        <w:rPr>
          <w:rFonts w:ascii="Bahnschrift Light" w:hAnsi="Bahnschrift Light"/>
          <w:color w:val="000000"/>
          <w:sz w:val="24"/>
          <w:szCs w:val="24"/>
        </w:rPr>
      </w:pPr>
      <w:r w:rsidRPr="004B6B00">
        <w:rPr>
          <w:rFonts w:ascii="Bahnschrift Light" w:hAnsi="Bahnschrift Light"/>
          <w:sz w:val="24"/>
          <w:szCs w:val="24"/>
        </w:rPr>
        <w:t>u</w:t>
      </w:r>
      <w:r w:rsidRPr="004B6B00">
        <w:rPr>
          <w:rFonts w:ascii="Bahnschrift Light" w:hAnsi="Bahnschrift Light"/>
          <w:color w:val="000000"/>
          <w:sz w:val="24"/>
          <w:szCs w:val="24"/>
        </w:rPr>
        <w:t>dzielanie informacji w zakresie obowiązujących procedur i przepisów związanych z udzielaniem zamówień publicznych</w:t>
      </w:r>
      <w:r w:rsidRPr="004B6B00">
        <w:rPr>
          <w:rFonts w:ascii="Bahnschrift Light" w:hAnsi="Bahnschrift Light"/>
          <w:sz w:val="24"/>
          <w:szCs w:val="24"/>
        </w:rPr>
        <w:t>;</w:t>
      </w:r>
    </w:p>
    <w:p w14:paraId="24B25404" w14:textId="77777777" w:rsidR="00D177E4" w:rsidRPr="004B6B00" w:rsidRDefault="00D177E4" w:rsidP="00A72F4B">
      <w:pPr>
        <w:numPr>
          <w:ilvl w:val="0"/>
          <w:numId w:val="15"/>
        </w:numPr>
        <w:pBdr>
          <w:top w:val="nil"/>
          <w:left w:val="nil"/>
          <w:bottom w:val="nil"/>
          <w:right w:val="nil"/>
          <w:between w:val="nil"/>
        </w:pBdr>
        <w:spacing w:after="0" w:line="240" w:lineRule="auto"/>
        <w:jc w:val="both"/>
        <w:rPr>
          <w:rFonts w:ascii="Bahnschrift Light" w:hAnsi="Bahnschrift Light"/>
          <w:sz w:val="24"/>
          <w:szCs w:val="24"/>
        </w:rPr>
      </w:pPr>
      <w:r w:rsidRPr="004B6B00">
        <w:rPr>
          <w:rFonts w:ascii="Bahnschrift Light" w:hAnsi="Bahnschrift Light"/>
          <w:sz w:val="24"/>
          <w:szCs w:val="24"/>
        </w:rPr>
        <w:t xml:space="preserve">realizacja zakupów oraz dbałość o przestrzeganie terminowej realizacji składanych </w:t>
      </w:r>
      <w:proofErr w:type="spellStart"/>
      <w:r w:rsidRPr="004B6B00">
        <w:rPr>
          <w:rFonts w:ascii="Bahnschrift Light" w:hAnsi="Bahnschrift Light"/>
          <w:sz w:val="24"/>
          <w:szCs w:val="24"/>
        </w:rPr>
        <w:t>zapotrzebowań</w:t>
      </w:r>
      <w:proofErr w:type="spellEnd"/>
      <w:r w:rsidRPr="004B6B00">
        <w:rPr>
          <w:rFonts w:ascii="Bahnschrift Light" w:hAnsi="Bahnschrift Light"/>
          <w:sz w:val="24"/>
          <w:szCs w:val="24"/>
        </w:rPr>
        <w:t>;</w:t>
      </w:r>
    </w:p>
    <w:p w14:paraId="2596EA76" w14:textId="77777777" w:rsidR="00C1348F" w:rsidRPr="004B6B00" w:rsidRDefault="00C1348F" w:rsidP="006710C8">
      <w:pPr>
        <w:pStyle w:val="Default"/>
        <w:jc w:val="both"/>
        <w:rPr>
          <w:rFonts w:ascii="Bahnschrift Light" w:hAnsi="Bahnschrift Light"/>
          <w:color w:val="auto"/>
        </w:rPr>
      </w:pPr>
    </w:p>
    <w:p w14:paraId="71DE61D5" w14:textId="0C2F21C9" w:rsidR="00DB059A" w:rsidRPr="004B6B00" w:rsidRDefault="00DB059A" w:rsidP="006710C8">
      <w:pPr>
        <w:pStyle w:val="Default"/>
        <w:jc w:val="both"/>
        <w:rPr>
          <w:rFonts w:ascii="Bahnschrift Light" w:hAnsi="Bahnschrift Light"/>
          <w:color w:val="auto"/>
        </w:rPr>
      </w:pPr>
      <w:r w:rsidRPr="004B6B00">
        <w:rPr>
          <w:rFonts w:ascii="Bahnschrift Light" w:hAnsi="Bahnschrift Light"/>
          <w:color w:val="auto"/>
        </w:rPr>
        <w:t>Dział Infrastruktury</w:t>
      </w:r>
      <w:r w:rsidR="00B34162" w:rsidRPr="004B6B00">
        <w:rPr>
          <w:rFonts w:ascii="Bahnschrift Light" w:hAnsi="Bahnschrift Light"/>
          <w:color w:val="auto"/>
        </w:rPr>
        <w:t xml:space="preserve"> zajmuje się m.in.:</w:t>
      </w:r>
    </w:p>
    <w:p w14:paraId="7E62D9F9" w14:textId="31511CF8" w:rsidR="00DB059A" w:rsidRPr="004B6B00" w:rsidRDefault="00DB059A" w:rsidP="006710C8">
      <w:pPr>
        <w:pStyle w:val="Default"/>
        <w:jc w:val="both"/>
        <w:rPr>
          <w:rFonts w:ascii="Bahnschrift Light" w:hAnsi="Bahnschrift Light"/>
          <w:color w:val="auto"/>
        </w:rPr>
      </w:pPr>
    </w:p>
    <w:p w14:paraId="0FD12525" w14:textId="2A8A5642" w:rsidR="00DB059A" w:rsidRPr="004B6B00" w:rsidRDefault="00B34162" w:rsidP="00C1348F">
      <w:pPr>
        <w:pStyle w:val="Default"/>
        <w:numPr>
          <w:ilvl w:val="0"/>
          <w:numId w:val="11"/>
        </w:numPr>
        <w:jc w:val="both"/>
        <w:rPr>
          <w:rFonts w:ascii="Bahnschrift Light" w:hAnsi="Bahnschrift Light"/>
          <w:color w:val="auto"/>
        </w:rPr>
      </w:pPr>
      <w:r w:rsidRPr="004B6B00">
        <w:rPr>
          <w:rFonts w:ascii="Bahnschrift Light" w:hAnsi="Bahnschrift Light"/>
          <w:color w:val="auto"/>
        </w:rPr>
        <w:t>administrowanie</w:t>
      </w:r>
      <w:r w:rsidR="008835C2" w:rsidRPr="004B6B00">
        <w:rPr>
          <w:rFonts w:ascii="Bahnschrift Light" w:hAnsi="Bahnschrift Light"/>
          <w:color w:val="auto"/>
        </w:rPr>
        <w:t>m</w:t>
      </w:r>
      <w:r w:rsidRPr="004B6B00">
        <w:rPr>
          <w:rFonts w:ascii="Bahnschrift Light" w:hAnsi="Bahnschrift Light"/>
          <w:color w:val="auto"/>
        </w:rPr>
        <w:t xml:space="preserve"> nieruchomościami Instytutu, </w:t>
      </w:r>
    </w:p>
    <w:p w14:paraId="181BE723" w14:textId="7EBB6725" w:rsidR="008835C2" w:rsidRPr="004B6B00" w:rsidRDefault="008835C2" w:rsidP="00C1348F">
      <w:pPr>
        <w:pStyle w:val="Default"/>
        <w:numPr>
          <w:ilvl w:val="0"/>
          <w:numId w:val="11"/>
        </w:numPr>
        <w:jc w:val="both"/>
        <w:rPr>
          <w:rFonts w:ascii="Bahnschrift Light" w:hAnsi="Bahnschrift Light"/>
          <w:color w:val="auto"/>
        </w:rPr>
      </w:pPr>
      <w:r w:rsidRPr="004B6B00">
        <w:rPr>
          <w:rFonts w:ascii="Bahnschrift Light" w:hAnsi="Bahnschrift Light"/>
        </w:rPr>
        <w:t>opracowywaniem planów inwestycji, remontów i konserwacji budynków oraz planów technicznych Instytutu</w:t>
      </w:r>
    </w:p>
    <w:p w14:paraId="1CF5171D" w14:textId="35E768F0" w:rsidR="008835C2" w:rsidRPr="004B6B00" w:rsidRDefault="008835C2" w:rsidP="00C1348F">
      <w:pPr>
        <w:pStyle w:val="Default"/>
        <w:numPr>
          <w:ilvl w:val="0"/>
          <w:numId w:val="11"/>
        </w:numPr>
        <w:jc w:val="both"/>
        <w:rPr>
          <w:rFonts w:ascii="Bahnschrift Light" w:hAnsi="Bahnschrift Light"/>
        </w:rPr>
      </w:pPr>
      <w:r w:rsidRPr="004B6B00">
        <w:rPr>
          <w:rFonts w:ascii="Bahnschrift Light" w:hAnsi="Bahnschrift Light"/>
        </w:rPr>
        <w:t>nadzorem administracyjnym nad organizacją spotkań i konferencji w Instytucie</w:t>
      </w:r>
    </w:p>
    <w:p w14:paraId="2FD303E8" w14:textId="77777777" w:rsidR="008835C2" w:rsidRPr="004B6B00" w:rsidRDefault="008835C2" w:rsidP="006710C8">
      <w:pPr>
        <w:pStyle w:val="Default"/>
        <w:jc w:val="both"/>
        <w:rPr>
          <w:rFonts w:ascii="Bahnschrift Light" w:hAnsi="Bahnschrift Light"/>
          <w:color w:val="auto"/>
        </w:rPr>
      </w:pPr>
    </w:p>
    <w:p w14:paraId="2D86DB0A" w14:textId="298DE46D" w:rsidR="00E22427" w:rsidRPr="004B6B00" w:rsidRDefault="00E22427" w:rsidP="006710C8">
      <w:pPr>
        <w:pStyle w:val="Default"/>
        <w:jc w:val="both"/>
        <w:rPr>
          <w:rFonts w:ascii="Bahnschrift Light" w:hAnsi="Bahnschrift Light"/>
          <w:color w:val="auto"/>
        </w:rPr>
      </w:pPr>
    </w:p>
    <w:p w14:paraId="0A489F50" w14:textId="77777777" w:rsidR="00E22427" w:rsidRPr="004B6B00" w:rsidRDefault="00E22427" w:rsidP="006C0A84">
      <w:pPr>
        <w:pStyle w:val="Nagwek2"/>
        <w:rPr>
          <w:shd w:val="clear" w:color="auto" w:fill="FFFFFF"/>
        </w:rPr>
      </w:pPr>
      <w:bookmarkStart w:id="6" w:name="_Toc189226036"/>
      <w:r w:rsidRPr="004B6B00">
        <w:rPr>
          <w:shd w:val="clear" w:color="auto" w:fill="FFFFFF"/>
        </w:rPr>
        <w:t>1.3 Współpraca międzynarodowa</w:t>
      </w:r>
      <w:bookmarkEnd w:id="6"/>
    </w:p>
    <w:p w14:paraId="4381029D" w14:textId="2A333A19" w:rsidR="00E22427" w:rsidRPr="004B6B00" w:rsidRDefault="00E22427" w:rsidP="006710C8">
      <w:pPr>
        <w:pStyle w:val="Default"/>
        <w:jc w:val="both"/>
        <w:rPr>
          <w:rFonts w:ascii="Bahnschrift Light" w:hAnsi="Bahnschrift Light"/>
          <w:color w:val="auto"/>
        </w:rPr>
      </w:pPr>
      <w:r w:rsidRPr="004B6B00">
        <w:rPr>
          <w:rFonts w:ascii="Bahnschrift Light" w:hAnsi="Bahnschrift Light" w:cs="Hind"/>
          <w:color w:val="20212B"/>
          <w:shd w:val="clear" w:color="auto" w:fill="FFFFFF"/>
        </w:rPr>
        <w:t>Instytut Nenckiego prowadzi szeroko zakrojoną współpracę międzynarodową z ośrodkami akademickimi i badawczymi na całym świecie. Jest ona realizowana za pośrednictwem tradycyjnych umów dwustronnych, jak również bezpośrednich kontaktów naukowych. Owocem pogłębianych z roku na rok kontaktów z partnerami zagranicznymi jest rosnąca liczba międzynarodowych projektów badawczych, jak i wzrost liczby publikacji powstających w wyniku współpracy z zagranicznymi jednostkami naukowymi.</w:t>
      </w:r>
    </w:p>
    <w:p w14:paraId="0A685676" w14:textId="77777777" w:rsidR="00AE5478" w:rsidRPr="004B6B00" w:rsidRDefault="00AE5478" w:rsidP="006710C8">
      <w:pPr>
        <w:pStyle w:val="Default"/>
        <w:jc w:val="both"/>
        <w:rPr>
          <w:rFonts w:ascii="Bahnschrift Light" w:hAnsi="Bahnschrift Light"/>
          <w:color w:val="auto"/>
        </w:rPr>
      </w:pPr>
    </w:p>
    <w:p w14:paraId="1CAC6709" w14:textId="77777777" w:rsidR="00AE5478" w:rsidRPr="004B6B00" w:rsidRDefault="00AE5478" w:rsidP="006710C8">
      <w:pPr>
        <w:pStyle w:val="Default"/>
        <w:jc w:val="both"/>
        <w:rPr>
          <w:rFonts w:ascii="Bahnschrift Light" w:hAnsi="Bahnschrift Light"/>
          <w:color w:val="auto"/>
        </w:rPr>
      </w:pPr>
    </w:p>
    <w:p w14:paraId="1CF98A1B" w14:textId="58692A80" w:rsidR="00AE5478" w:rsidRPr="004B6B00" w:rsidRDefault="00AE5478" w:rsidP="006C0A84">
      <w:pPr>
        <w:pStyle w:val="Nagwek2"/>
      </w:pPr>
      <w:bookmarkStart w:id="7" w:name="_Toc189226037"/>
      <w:r w:rsidRPr="004B6B00">
        <w:lastRenderedPageBreak/>
        <w:t>1.</w:t>
      </w:r>
      <w:r w:rsidR="004B6B00">
        <w:t>4</w:t>
      </w:r>
      <w:r w:rsidRPr="004B6B00">
        <w:t xml:space="preserve"> Struktura zatrudnienia</w:t>
      </w:r>
      <w:bookmarkEnd w:id="7"/>
      <w:r w:rsidRPr="004B6B00">
        <w:t xml:space="preserve"> </w:t>
      </w:r>
    </w:p>
    <w:p w14:paraId="2C33EC60" w14:textId="0B6E4DA6" w:rsidR="00AE5478" w:rsidRPr="004B6B00" w:rsidRDefault="00AE5478" w:rsidP="006710C8">
      <w:pPr>
        <w:pStyle w:val="Default"/>
        <w:jc w:val="both"/>
        <w:rPr>
          <w:rFonts w:ascii="Bahnschrift Light" w:hAnsi="Bahnschrift Light"/>
          <w:color w:val="auto"/>
        </w:rPr>
      </w:pPr>
      <w:r w:rsidRPr="004B6B00">
        <w:rPr>
          <w:rFonts w:ascii="Bahnschrift Light" w:hAnsi="Bahnschrift Light"/>
          <w:color w:val="auto"/>
        </w:rPr>
        <w:t>Aktualnie w I</w:t>
      </w:r>
      <w:r w:rsidR="00C1348F" w:rsidRPr="004B6B00">
        <w:rPr>
          <w:rFonts w:ascii="Bahnschrift Light" w:hAnsi="Bahnschrift Light"/>
          <w:color w:val="auto"/>
        </w:rPr>
        <w:t>nstytucie</w:t>
      </w:r>
      <w:r w:rsidRPr="004B6B00">
        <w:rPr>
          <w:rFonts w:ascii="Bahnschrift Light" w:hAnsi="Bahnschrift Light"/>
          <w:color w:val="auto"/>
        </w:rPr>
        <w:t xml:space="preserve"> zatrudnionych jest </w:t>
      </w:r>
      <w:r w:rsidR="00C1348F" w:rsidRPr="004B6B00">
        <w:rPr>
          <w:rFonts w:ascii="Bahnschrift Light" w:hAnsi="Bahnschrift Light"/>
          <w:color w:val="auto"/>
        </w:rPr>
        <w:t>355</w:t>
      </w:r>
      <w:r w:rsidRPr="004B6B00">
        <w:rPr>
          <w:rFonts w:ascii="Bahnschrift Light" w:hAnsi="Bahnschrift Light"/>
          <w:color w:val="auto"/>
        </w:rPr>
        <w:t xml:space="preserve"> pracowników (w tym </w:t>
      </w:r>
      <w:r w:rsidR="00C1348F" w:rsidRPr="004B6B00">
        <w:rPr>
          <w:rFonts w:ascii="Bahnschrift Light" w:hAnsi="Bahnschrift Light"/>
          <w:color w:val="auto"/>
        </w:rPr>
        <w:t>180</w:t>
      </w:r>
      <w:r w:rsidRPr="004B6B00">
        <w:rPr>
          <w:rFonts w:ascii="Bahnschrift Light" w:hAnsi="Bahnschrift Light"/>
          <w:color w:val="auto"/>
        </w:rPr>
        <w:t xml:space="preserve"> naukow</w:t>
      </w:r>
      <w:r w:rsidR="00C1348F" w:rsidRPr="004B6B00">
        <w:rPr>
          <w:rFonts w:ascii="Bahnschrift Light" w:hAnsi="Bahnschrift Light"/>
          <w:color w:val="auto"/>
        </w:rPr>
        <w:t>ców</w:t>
      </w:r>
      <w:r w:rsidRPr="004B6B00">
        <w:rPr>
          <w:rFonts w:ascii="Bahnschrift Light" w:hAnsi="Bahnschrift Light"/>
          <w:color w:val="auto"/>
        </w:rPr>
        <w:t xml:space="preserve">), </w:t>
      </w:r>
      <w:r w:rsidR="0048433D" w:rsidRPr="004B6B00">
        <w:rPr>
          <w:rFonts w:ascii="Bahnschrift Light" w:hAnsi="Bahnschrift Light"/>
          <w:color w:val="auto"/>
        </w:rPr>
        <w:t xml:space="preserve">i kształci się </w:t>
      </w:r>
      <w:r w:rsidR="00C1348F" w:rsidRPr="004B6B00">
        <w:rPr>
          <w:rFonts w:ascii="Bahnschrift Light" w:hAnsi="Bahnschrift Light"/>
          <w:color w:val="auto"/>
        </w:rPr>
        <w:t>100</w:t>
      </w:r>
      <w:r w:rsidR="0048433D" w:rsidRPr="004B6B00">
        <w:rPr>
          <w:rFonts w:ascii="Bahnschrift Light" w:hAnsi="Bahnschrift Light"/>
          <w:color w:val="auto"/>
        </w:rPr>
        <w:t xml:space="preserve"> doktorantów</w:t>
      </w:r>
      <w:r w:rsidRPr="004B6B00">
        <w:rPr>
          <w:rFonts w:ascii="Bahnschrift Light" w:hAnsi="Bahnschrift Light"/>
          <w:color w:val="auto"/>
        </w:rPr>
        <w:t xml:space="preserve"> (stan na </w:t>
      </w:r>
      <w:r w:rsidR="00C1348F" w:rsidRPr="004B6B00">
        <w:rPr>
          <w:rFonts w:ascii="Bahnschrift Light" w:hAnsi="Bahnschrift Light"/>
          <w:color w:val="auto"/>
        </w:rPr>
        <w:t>październik</w:t>
      </w:r>
      <w:r w:rsidRPr="004B6B00">
        <w:rPr>
          <w:rFonts w:ascii="Bahnschrift Light" w:hAnsi="Bahnschrift Light"/>
          <w:color w:val="auto"/>
        </w:rPr>
        <w:t xml:space="preserve"> 202</w:t>
      </w:r>
      <w:r w:rsidR="00C1348F" w:rsidRPr="004B6B00">
        <w:rPr>
          <w:rFonts w:ascii="Bahnschrift Light" w:hAnsi="Bahnschrift Light"/>
          <w:color w:val="auto"/>
        </w:rPr>
        <w:t>4</w:t>
      </w:r>
      <w:r w:rsidRPr="004B6B00">
        <w:rPr>
          <w:rFonts w:ascii="Bahnschrift Light" w:hAnsi="Bahnschrift Light"/>
          <w:color w:val="auto"/>
        </w:rPr>
        <w:t xml:space="preserve"> r.). Struktura </w:t>
      </w:r>
      <w:r w:rsidR="00C1348F" w:rsidRPr="004B6B00">
        <w:rPr>
          <w:rFonts w:ascii="Bahnschrift Light" w:hAnsi="Bahnschrift Light"/>
          <w:color w:val="auto"/>
        </w:rPr>
        <w:t>Instytutu Nenckiego</w:t>
      </w:r>
      <w:r w:rsidRPr="004B6B00">
        <w:rPr>
          <w:rFonts w:ascii="Bahnschrift Light" w:hAnsi="Bahnschrift Light"/>
          <w:color w:val="auto"/>
        </w:rPr>
        <w:t xml:space="preserve"> pod względem </w:t>
      </w:r>
      <w:r w:rsidR="00C1348F" w:rsidRPr="004B6B00">
        <w:rPr>
          <w:rFonts w:ascii="Bahnschrift Light" w:hAnsi="Bahnschrift Light"/>
          <w:color w:val="auto"/>
        </w:rPr>
        <w:t>grup</w:t>
      </w:r>
      <w:r w:rsidRPr="004B6B00">
        <w:rPr>
          <w:rFonts w:ascii="Bahnschrift Light" w:hAnsi="Bahnschrift Light"/>
          <w:color w:val="auto"/>
        </w:rPr>
        <w:t xml:space="preserve"> stanowisk</w:t>
      </w:r>
      <w:r w:rsidR="00197F97">
        <w:rPr>
          <w:rFonts w:ascii="Bahnschrift Light" w:hAnsi="Bahnschrift Light"/>
          <w:color w:val="auto"/>
        </w:rPr>
        <w:t>owych</w:t>
      </w:r>
      <w:r w:rsidRPr="004B6B00">
        <w:rPr>
          <w:rFonts w:ascii="Bahnschrift Light" w:hAnsi="Bahnschrift Light"/>
          <w:color w:val="auto"/>
        </w:rPr>
        <w:t xml:space="preserve"> przedstawiona została na rys. 1. </w:t>
      </w:r>
    </w:p>
    <w:p w14:paraId="60F191E7" w14:textId="77777777" w:rsidR="0096725D" w:rsidRDefault="0096725D" w:rsidP="006710C8">
      <w:pPr>
        <w:pStyle w:val="Default"/>
        <w:jc w:val="both"/>
        <w:rPr>
          <w:rFonts w:ascii="Bahnschrift Light" w:hAnsi="Bahnschrift Light"/>
          <w:i/>
          <w:iCs/>
          <w:color w:val="44536A"/>
        </w:rPr>
      </w:pPr>
    </w:p>
    <w:p w14:paraId="58390981" w14:textId="60315E0A" w:rsidR="00C1348F" w:rsidRPr="004B6B00" w:rsidRDefault="00AE5478" w:rsidP="006710C8">
      <w:pPr>
        <w:pStyle w:val="Default"/>
        <w:jc w:val="both"/>
        <w:rPr>
          <w:rFonts w:ascii="Bahnschrift Light" w:hAnsi="Bahnschrift Light"/>
          <w:i/>
          <w:iCs/>
          <w:color w:val="44536A"/>
        </w:rPr>
      </w:pPr>
      <w:r w:rsidRPr="004B6B00">
        <w:rPr>
          <w:rFonts w:ascii="Bahnschrift Light" w:hAnsi="Bahnschrift Light"/>
          <w:i/>
          <w:iCs/>
          <w:color w:val="44536A"/>
        </w:rPr>
        <w:t xml:space="preserve">Rysunek 1. Struktura </w:t>
      </w:r>
      <w:r w:rsidR="00C1348F" w:rsidRPr="004B6B00">
        <w:rPr>
          <w:rFonts w:ascii="Bahnschrift Light" w:hAnsi="Bahnschrift Light"/>
          <w:i/>
          <w:iCs/>
          <w:color w:val="44536A"/>
        </w:rPr>
        <w:t>zatrudnienia w Instytucie</w:t>
      </w:r>
    </w:p>
    <w:p w14:paraId="57F385B4" w14:textId="77777777" w:rsidR="00C1348F" w:rsidRPr="004B6B00" w:rsidRDefault="00C1348F" w:rsidP="006710C8">
      <w:pPr>
        <w:pStyle w:val="Default"/>
        <w:jc w:val="both"/>
        <w:rPr>
          <w:rFonts w:ascii="Bahnschrift Light" w:hAnsi="Bahnschrift Light"/>
          <w:i/>
          <w:iCs/>
          <w:color w:val="44536A"/>
        </w:rPr>
      </w:pPr>
    </w:p>
    <w:p w14:paraId="751593A9" w14:textId="77777777" w:rsidR="00C1348F" w:rsidRPr="004B6B00" w:rsidRDefault="00C1348F" w:rsidP="006710C8">
      <w:pPr>
        <w:pStyle w:val="Default"/>
        <w:jc w:val="both"/>
        <w:rPr>
          <w:rFonts w:ascii="Bahnschrift Light" w:hAnsi="Bahnschrift Light"/>
          <w:i/>
          <w:iCs/>
          <w:color w:val="44536A"/>
        </w:rPr>
      </w:pPr>
    </w:p>
    <w:p w14:paraId="5EFFEC0D" w14:textId="0DCA94D0" w:rsidR="00AE5478" w:rsidRPr="004B6B00" w:rsidRDefault="00C1348F" w:rsidP="006710C8">
      <w:pPr>
        <w:pStyle w:val="Default"/>
        <w:jc w:val="both"/>
        <w:rPr>
          <w:rFonts w:ascii="Bahnschrift Light" w:hAnsi="Bahnschrift Light"/>
        </w:rPr>
      </w:pPr>
      <w:r w:rsidRPr="004B6B00">
        <w:rPr>
          <w:rFonts w:ascii="Bahnschrift Light" w:hAnsi="Bahnschrift Light"/>
          <w:i/>
          <w:iCs/>
          <w:noProof/>
          <w:color w:val="44536A"/>
        </w:rPr>
        <w:drawing>
          <wp:inline distT="0" distB="0" distL="0" distR="0" wp14:anchorId="2FBBB47F" wp14:editId="61C62B60">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E5478" w:rsidRPr="004B6B00">
        <w:rPr>
          <w:rFonts w:ascii="Bahnschrift Light" w:hAnsi="Bahnschrift Light"/>
          <w:i/>
          <w:iCs/>
          <w:color w:val="44536A"/>
        </w:rPr>
        <w:t xml:space="preserve"> </w:t>
      </w:r>
    </w:p>
    <w:p w14:paraId="198863EF" w14:textId="77777777" w:rsidR="00AE5478" w:rsidRPr="004B6B00" w:rsidRDefault="00AE5478" w:rsidP="006710C8">
      <w:pPr>
        <w:pStyle w:val="Default"/>
        <w:jc w:val="both"/>
        <w:rPr>
          <w:rFonts w:ascii="Bahnschrift Light" w:hAnsi="Bahnschrift Light"/>
          <w:color w:val="auto"/>
        </w:rPr>
      </w:pPr>
    </w:p>
    <w:p w14:paraId="288D9329" w14:textId="77777777" w:rsidR="004334C1" w:rsidRPr="004B6B00" w:rsidRDefault="004334C1" w:rsidP="006710C8">
      <w:pPr>
        <w:pStyle w:val="Default"/>
        <w:jc w:val="both"/>
        <w:rPr>
          <w:rFonts w:ascii="Bahnschrift Light" w:hAnsi="Bahnschrift Light"/>
          <w:color w:val="auto"/>
        </w:rPr>
      </w:pPr>
    </w:p>
    <w:p w14:paraId="48FA76EE" w14:textId="77777777" w:rsidR="00C1348F" w:rsidRPr="004B6B00" w:rsidRDefault="00C1348F" w:rsidP="006710C8">
      <w:pPr>
        <w:pStyle w:val="Default"/>
        <w:jc w:val="both"/>
        <w:rPr>
          <w:rFonts w:ascii="Bahnschrift Light" w:hAnsi="Bahnschrift Light"/>
          <w:color w:val="auto"/>
        </w:rPr>
      </w:pPr>
    </w:p>
    <w:p w14:paraId="3E7B0809" w14:textId="77777777" w:rsidR="00AE5478" w:rsidRPr="004B6B00" w:rsidRDefault="00AE5478" w:rsidP="006710C8">
      <w:pPr>
        <w:pStyle w:val="Default"/>
        <w:jc w:val="both"/>
        <w:rPr>
          <w:rFonts w:ascii="Bahnschrift Light" w:hAnsi="Bahnschrift Light"/>
          <w:color w:val="FFFFFF"/>
        </w:rPr>
      </w:pPr>
      <w:r w:rsidRPr="004B6B00">
        <w:rPr>
          <w:rFonts w:ascii="Bahnschrift Light" w:hAnsi="Bahnschrift Light"/>
          <w:b/>
          <w:bCs/>
          <w:color w:val="FFFFFF"/>
        </w:rPr>
        <w:t>75</w:t>
      </w:r>
    </w:p>
    <w:p w14:paraId="54494718" w14:textId="206E918E" w:rsidR="001B769B" w:rsidRPr="004B6B00" w:rsidRDefault="001B769B" w:rsidP="006710C8">
      <w:pPr>
        <w:jc w:val="both"/>
        <w:rPr>
          <w:rFonts w:ascii="Bahnschrift Light" w:hAnsi="Bahnschrift Light"/>
          <w:sz w:val="24"/>
          <w:szCs w:val="24"/>
        </w:rPr>
      </w:pPr>
    </w:p>
    <w:p w14:paraId="4CD2C43C" w14:textId="4CBF0EDB" w:rsidR="004334C1" w:rsidRPr="004B6B00" w:rsidRDefault="004334C1" w:rsidP="006710C8">
      <w:pPr>
        <w:jc w:val="both"/>
        <w:rPr>
          <w:rFonts w:ascii="Bahnschrift Light" w:hAnsi="Bahnschrift Light"/>
          <w:sz w:val="24"/>
          <w:szCs w:val="24"/>
        </w:rPr>
      </w:pPr>
    </w:p>
    <w:p w14:paraId="58A9D853" w14:textId="4BB16945" w:rsidR="00C1348F" w:rsidRPr="004B6B00" w:rsidRDefault="00C1348F">
      <w:pPr>
        <w:rPr>
          <w:rFonts w:ascii="Bahnschrift Light" w:hAnsi="Bahnschrift Light"/>
          <w:sz w:val="24"/>
          <w:szCs w:val="24"/>
        </w:rPr>
      </w:pPr>
      <w:r w:rsidRPr="004B6B00">
        <w:rPr>
          <w:rFonts w:ascii="Bahnschrift Light" w:hAnsi="Bahnschrift Light"/>
          <w:sz w:val="24"/>
          <w:szCs w:val="24"/>
        </w:rPr>
        <w:br w:type="page"/>
      </w:r>
    </w:p>
    <w:p w14:paraId="349AA420" w14:textId="776E67FC" w:rsidR="004334C1" w:rsidRPr="004B6B00" w:rsidRDefault="00C6563B" w:rsidP="006C0A84">
      <w:pPr>
        <w:pStyle w:val="Nagwek1"/>
      </w:pPr>
      <w:bookmarkStart w:id="8" w:name="_Toc189226038"/>
      <w:r w:rsidRPr="004B6B00">
        <w:lastRenderedPageBreak/>
        <w:t>2</w:t>
      </w:r>
      <w:r w:rsidR="004334C1" w:rsidRPr="004B6B00">
        <w:t>. Aktualizacja Strategii HR (HRS4R)</w:t>
      </w:r>
      <w:bookmarkEnd w:id="8"/>
      <w:r w:rsidR="004334C1" w:rsidRPr="004B6B00">
        <w:t xml:space="preserve"> </w:t>
      </w:r>
    </w:p>
    <w:p w14:paraId="2B973E90" w14:textId="21A5A19D" w:rsidR="004334C1" w:rsidRPr="004B6B00" w:rsidRDefault="004334C1" w:rsidP="007F6170">
      <w:pPr>
        <w:autoSpaceDE w:val="0"/>
        <w:autoSpaceDN w:val="0"/>
        <w:adjustRightInd w:val="0"/>
        <w:spacing w:after="0" w:line="240" w:lineRule="auto"/>
        <w:jc w:val="both"/>
        <w:rPr>
          <w:rFonts w:ascii="Bahnschrift Light" w:hAnsi="Bahnschrift Light" w:cs="Arial"/>
          <w:color w:val="000000"/>
          <w:sz w:val="24"/>
          <w:szCs w:val="24"/>
        </w:rPr>
      </w:pPr>
      <w:r w:rsidRPr="004B6B00">
        <w:rPr>
          <w:rFonts w:ascii="Bahnschrift Light" w:hAnsi="Bahnschrift Light" w:cs="Calibri"/>
          <w:color w:val="000000"/>
          <w:sz w:val="24"/>
          <w:szCs w:val="24"/>
        </w:rPr>
        <w:t>Kluczową rolę w procesie</w:t>
      </w:r>
      <w:r w:rsidR="00BB758F">
        <w:rPr>
          <w:rFonts w:ascii="Bahnschrift Light" w:hAnsi="Bahnschrift Light" w:cs="Calibri"/>
          <w:color w:val="000000"/>
          <w:sz w:val="24"/>
          <w:szCs w:val="24"/>
        </w:rPr>
        <w:t xml:space="preserve"> wdrażania</w:t>
      </w:r>
      <w:r w:rsidRPr="004B6B00">
        <w:rPr>
          <w:rFonts w:ascii="Bahnschrift Light" w:hAnsi="Bahnschrift Light" w:cs="Calibri"/>
          <w:color w:val="000000"/>
          <w:sz w:val="24"/>
          <w:szCs w:val="24"/>
        </w:rPr>
        <w:t xml:space="preserve"> HRS4R odegrał powołany w 20</w:t>
      </w:r>
      <w:r w:rsidR="00EA268A" w:rsidRPr="004B6B00">
        <w:rPr>
          <w:rFonts w:ascii="Bahnschrift Light" w:hAnsi="Bahnschrift Light" w:cs="Calibri"/>
          <w:color w:val="000000"/>
          <w:sz w:val="24"/>
          <w:szCs w:val="24"/>
        </w:rPr>
        <w:t>0</w:t>
      </w:r>
      <w:r w:rsidR="00A72F4B" w:rsidRPr="004B6B00">
        <w:rPr>
          <w:rFonts w:ascii="Bahnschrift Light" w:hAnsi="Bahnschrift Light" w:cs="Calibri"/>
          <w:color w:val="000000"/>
          <w:sz w:val="24"/>
          <w:szCs w:val="24"/>
        </w:rPr>
        <w:t>9</w:t>
      </w:r>
      <w:r w:rsidRPr="004B6B00">
        <w:rPr>
          <w:rFonts w:ascii="Bahnschrift Light" w:hAnsi="Bahnschrift Light" w:cs="Calibri"/>
          <w:color w:val="000000"/>
          <w:sz w:val="24"/>
          <w:szCs w:val="24"/>
        </w:rPr>
        <w:t xml:space="preserve"> r. Zespół ds. wdrożenia </w:t>
      </w:r>
      <w:r w:rsidR="00A72F4B" w:rsidRPr="004B6B00">
        <w:rPr>
          <w:rFonts w:ascii="Bahnschrift Light" w:hAnsi="Bahnschrift Light" w:cs="Calibri"/>
          <w:color w:val="000000"/>
          <w:sz w:val="24"/>
          <w:szCs w:val="24"/>
        </w:rPr>
        <w:t>strategii</w:t>
      </w:r>
      <w:r w:rsidRPr="004B6B00">
        <w:rPr>
          <w:rFonts w:ascii="Bahnschrift Light" w:hAnsi="Bahnschrift Light" w:cs="Calibri"/>
          <w:color w:val="000000"/>
          <w:sz w:val="24"/>
          <w:szCs w:val="24"/>
        </w:rPr>
        <w:t xml:space="preserve"> Europejskiej Karty Naukowca i Kodeksu postępowania przy rekrutacji pracowników naukowych. </w:t>
      </w:r>
      <w:r w:rsidR="00971390" w:rsidRPr="004B6B00">
        <w:rPr>
          <w:rFonts w:ascii="Bahnschrift Light" w:hAnsi="Bahnschrift Light" w:cs="Calibri"/>
          <w:color w:val="000000"/>
          <w:sz w:val="24"/>
          <w:szCs w:val="24"/>
        </w:rPr>
        <w:t>W 20</w:t>
      </w:r>
      <w:r w:rsidR="006B2099" w:rsidRPr="004B6B00">
        <w:rPr>
          <w:rFonts w:ascii="Bahnschrift Light" w:hAnsi="Bahnschrift Light" w:cs="Calibri"/>
          <w:color w:val="000000"/>
          <w:sz w:val="24"/>
          <w:szCs w:val="24"/>
        </w:rPr>
        <w:t xml:space="preserve">19 roku została powołana Komisja ds. wdrożenia strategii Europejskiej Karty Naukowca i Kodeksu postępowania przy rekrutacji pracowników naukowych. </w:t>
      </w:r>
      <w:r w:rsidRPr="004B6B00">
        <w:rPr>
          <w:rFonts w:ascii="Bahnschrift Light" w:hAnsi="Bahnschrift Light" w:cs="Calibri"/>
          <w:color w:val="000000"/>
          <w:sz w:val="24"/>
          <w:szCs w:val="24"/>
        </w:rPr>
        <w:t>W 201</w:t>
      </w:r>
      <w:r w:rsidR="00A72F4B" w:rsidRPr="004B6B00">
        <w:rPr>
          <w:rFonts w:ascii="Bahnschrift Light" w:hAnsi="Bahnschrift Light" w:cs="Calibri"/>
          <w:color w:val="000000"/>
          <w:sz w:val="24"/>
          <w:szCs w:val="24"/>
        </w:rPr>
        <w:t>9</w:t>
      </w:r>
      <w:r w:rsidRPr="004B6B00">
        <w:rPr>
          <w:rFonts w:ascii="Bahnschrift Light" w:hAnsi="Bahnschrift Light" w:cs="Calibri"/>
          <w:color w:val="000000"/>
          <w:sz w:val="24"/>
          <w:szCs w:val="24"/>
        </w:rPr>
        <w:t xml:space="preserve"> roku w ramach HRS4R odbyła się tzw. ocena śródokresowa (Interim </w:t>
      </w:r>
      <w:proofErr w:type="spellStart"/>
      <w:r w:rsidRPr="004B6B00">
        <w:rPr>
          <w:rFonts w:ascii="Bahnschrift Light" w:hAnsi="Bahnschrift Light" w:cs="Calibri"/>
          <w:color w:val="000000"/>
          <w:sz w:val="24"/>
          <w:szCs w:val="24"/>
        </w:rPr>
        <w:t>Assessment</w:t>
      </w:r>
      <w:proofErr w:type="spellEnd"/>
      <w:r w:rsidRPr="004B6B00">
        <w:rPr>
          <w:rFonts w:ascii="Bahnschrift Light" w:hAnsi="Bahnschrift Light" w:cs="Calibri"/>
          <w:color w:val="000000"/>
          <w:sz w:val="24"/>
          <w:szCs w:val="24"/>
        </w:rPr>
        <w:t>). Nastąpiła wówczas kontrola wdrożenia strategii oraz poziomu jej zgodności z zasadami Europejskiej Karty Naukowca i Kodeksu postępowania przy rekrutacji pracowników naukowych (C&amp;C).</w:t>
      </w:r>
      <w:r w:rsidR="00A72F4B" w:rsidRPr="004B6B00">
        <w:rPr>
          <w:rFonts w:ascii="Bahnschrift Light" w:hAnsi="Bahnschrift Light" w:cs="Calibri"/>
          <w:color w:val="000000"/>
          <w:sz w:val="24"/>
          <w:szCs w:val="24"/>
        </w:rPr>
        <w:t xml:space="preserve"> </w:t>
      </w:r>
      <w:r w:rsidRPr="004B6B00">
        <w:rPr>
          <w:rFonts w:ascii="Bahnschrift Light" w:hAnsi="Bahnschrift Light" w:cs="Calibri"/>
          <w:color w:val="000000"/>
          <w:sz w:val="24"/>
          <w:szCs w:val="24"/>
        </w:rPr>
        <w:t xml:space="preserve">Ocena asesorów KE wskazywała na wysoki poziom zaangażowania </w:t>
      </w:r>
      <w:r w:rsidR="007F6170" w:rsidRPr="004B6B00">
        <w:rPr>
          <w:rFonts w:ascii="Bahnschrift Light" w:hAnsi="Bahnschrift Light" w:cs="Calibri"/>
          <w:color w:val="000000"/>
          <w:sz w:val="24"/>
          <w:szCs w:val="24"/>
        </w:rPr>
        <w:t xml:space="preserve">Instytutu Nenckiego </w:t>
      </w:r>
      <w:r w:rsidRPr="004B6B00">
        <w:rPr>
          <w:rFonts w:ascii="Bahnschrift Light" w:hAnsi="Bahnschrift Light" w:cs="Calibri"/>
          <w:color w:val="000000"/>
          <w:sz w:val="24"/>
          <w:szCs w:val="24"/>
        </w:rPr>
        <w:t xml:space="preserve">w proces </w:t>
      </w:r>
      <w:r w:rsidR="002048F7">
        <w:rPr>
          <w:rFonts w:ascii="Bahnschrift Light" w:hAnsi="Bahnschrift Light" w:cs="Calibri"/>
          <w:color w:val="000000"/>
          <w:sz w:val="24"/>
          <w:szCs w:val="24"/>
        </w:rPr>
        <w:t xml:space="preserve">realizacji </w:t>
      </w:r>
      <w:r w:rsidRPr="004B6B00">
        <w:rPr>
          <w:rFonts w:ascii="Bahnschrift Light" w:hAnsi="Bahnschrift Light" w:cs="Calibri"/>
          <w:color w:val="000000"/>
          <w:sz w:val="24"/>
          <w:szCs w:val="24"/>
        </w:rPr>
        <w:t xml:space="preserve">HRS4R. Niemniej nakreślono także obszary/zadania, które należy zweryfikować, </w:t>
      </w:r>
      <w:r w:rsidR="007F6170" w:rsidRPr="004B6B00">
        <w:rPr>
          <w:rFonts w:ascii="Bahnschrift Light" w:hAnsi="Bahnschrift Light" w:cs="Calibri"/>
          <w:color w:val="000000"/>
          <w:sz w:val="24"/>
          <w:szCs w:val="24"/>
        </w:rPr>
        <w:t>m.in.: brak upowszechnienia strategii HRS4R oraz zasad Karty i Kodeksu dla pracowników, brak planu działania na stronie internetowej i brak kluczowych wskaźników efektywności (KPI), brak usystematyzowanych szkoleń z zakresu etyki w badaniach</w:t>
      </w:r>
      <w:r w:rsidRPr="004B6B00">
        <w:rPr>
          <w:rFonts w:ascii="Bahnschrift Light" w:hAnsi="Bahnschrift Light" w:cs="Calibri"/>
          <w:color w:val="000000"/>
          <w:sz w:val="24"/>
          <w:szCs w:val="24"/>
        </w:rPr>
        <w:t xml:space="preserve">. </w:t>
      </w:r>
      <w:r w:rsidR="002048F7">
        <w:rPr>
          <w:rFonts w:ascii="Bahnschrift Light" w:hAnsi="Bahnschrift Light" w:cs="Calibri"/>
          <w:color w:val="000000"/>
          <w:sz w:val="24"/>
          <w:szCs w:val="24"/>
        </w:rPr>
        <w:t xml:space="preserve">Te aspekty stanowiły główny przedmiot prac Komisji w ostatnich latach. </w:t>
      </w:r>
    </w:p>
    <w:p w14:paraId="0709A017" w14:textId="6A35C260" w:rsidR="006F44A2" w:rsidRPr="004B6B00" w:rsidRDefault="00F4346D" w:rsidP="006B34CA">
      <w:pPr>
        <w:autoSpaceDE w:val="0"/>
        <w:autoSpaceDN w:val="0"/>
        <w:adjustRightInd w:val="0"/>
        <w:spacing w:after="0" w:line="240" w:lineRule="auto"/>
        <w:jc w:val="both"/>
        <w:rPr>
          <w:rFonts w:ascii="Bahnschrift Light" w:hAnsi="Bahnschrift Light" w:cs="Calibri"/>
          <w:color w:val="000000"/>
          <w:sz w:val="24"/>
          <w:szCs w:val="24"/>
        </w:rPr>
      </w:pPr>
      <w:r w:rsidRPr="004B6B00">
        <w:rPr>
          <w:rFonts w:ascii="Bahnschrift Light" w:hAnsi="Bahnschrift Light" w:cs="Calibri"/>
          <w:color w:val="000000"/>
          <w:sz w:val="24"/>
          <w:szCs w:val="24"/>
        </w:rPr>
        <w:t>W roku 2024, p</w:t>
      </w:r>
      <w:r w:rsidR="004334C1" w:rsidRPr="004B6B00">
        <w:rPr>
          <w:rFonts w:ascii="Bahnschrift Light" w:hAnsi="Bahnschrift Light" w:cs="Calibri"/>
          <w:color w:val="000000"/>
          <w:sz w:val="24"/>
          <w:szCs w:val="24"/>
        </w:rPr>
        <w:t xml:space="preserve">rzed III etapem (faza odnowienia) </w:t>
      </w:r>
      <w:r w:rsidR="006B34CA" w:rsidRPr="004B6B00">
        <w:rPr>
          <w:rFonts w:ascii="Bahnschrift Light" w:hAnsi="Bahnschrift Light" w:cs="Calibri"/>
          <w:color w:val="000000"/>
          <w:sz w:val="24"/>
          <w:szCs w:val="24"/>
        </w:rPr>
        <w:t xml:space="preserve">przeprowadzono ankietę, której celem było  określenie, na ile regulacje wewnętrzne Instytutu Nenckiego, wpisują się w postanowienia przedstawione w przyjętej przez KE Karcie </w:t>
      </w:r>
      <w:r w:rsidRPr="004B6B00">
        <w:rPr>
          <w:rFonts w:ascii="Bahnschrift Light" w:hAnsi="Bahnschrift Light" w:cs="Calibri"/>
          <w:color w:val="000000"/>
          <w:sz w:val="24"/>
          <w:szCs w:val="24"/>
        </w:rPr>
        <w:t>N</w:t>
      </w:r>
      <w:r w:rsidR="006B34CA" w:rsidRPr="004B6B00">
        <w:rPr>
          <w:rFonts w:ascii="Bahnschrift Light" w:hAnsi="Bahnschrift Light" w:cs="Calibri"/>
          <w:color w:val="000000"/>
          <w:sz w:val="24"/>
          <w:szCs w:val="24"/>
        </w:rPr>
        <w:t xml:space="preserve">aukowca.  Ankieta skierowana była do 279 naukowców (199 kobiet i 80 mężczyzn). </w:t>
      </w:r>
      <w:r w:rsidR="000354A3" w:rsidRPr="004B6B00">
        <w:rPr>
          <w:rFonts w:ascii="Bahnschrift Light" w:hAnsi="Bahnschrift Light" w:cs="Calibri"/>
          <w:color w:val="000000"/>
          <w:sz w:val="24"/>
          <w:szCs w:val="24"/>
        </w:rPr>
        <w:t xml:space="preserve">Uzyskano </w:t>
      </w:r>
      <w:r w:rsidR="0048433D" w:rsidRPr="004B6B00">
        <w:rPr>
          <w:rFonts w:ascii="Bahnschrift Light" w:hAnsi="Bahnschrift Light" w:cs="Calibri"/>
          <w:color w:val="000000"/>
          <w:sz w:val="24"/>
          <w:szCs w:val="24"/>
        </w:rPr>
        <w:t>83</w:t>
      </w:r>
      <w:r w:rsidR="000354A3" w:rsidRPr="004B6B00">
        <w:rPr>
          <w:rFonts w:ascii="Bahnschrift Light" w:hAnsi="Bahnschrift Light" w:cs="Calibri"/>
          <w:color w:val="000000"/>
          <w:sz w:val="24"/>
          <w:szCs w:val="24"/>
        </w:rPr>
        <w:t xml:space="preserve"> odpowiedzi co stanowi 28% wszystkich respondentów. </w:t>
      </w:r>
      <w:r w:rsidR="009760C6" w:rsidRPr="004B6B00">
        <w:rPr>
          <w:rFonts w:ascii="Bahnschrift Light" w:hAnsi="Bahnschrift Light" w:cs="Calibri"/>
          <w:color w:val="000000"/>
          <w:sz w:val="24"/>
          <w:szCs w:val="24"/>
        </w:rPr>
        <w:t xml:space="preserve">78,8 % respondentów to osoby powyżej 35 lat. </w:t>
      </w:r>
      <w:r w:rsidR="000354A3" w:rsidRPr="004B6B00">
        <w:rPr>
          <w:rFonts w:ascii="Bahnschrift Light" w:hAnsi="Bahnschrift Light" w:cs="Calibri"/>
          <w:color w:val="000000"/>
          <w:sz w:val="24"/>
          <w:szCs w:val="24"/>
        </w:rPr>
        <w:t xml:space="preserve">Wyniki ankiety </w:t>
      </w:r>
      <w:r w:rsidR="002048F7">
        <w:rPr>
          <w:rFonts w:ascii="Bahnschrift Light" w:hAnsi="Bahnschrift Light" w:cs="Calibri"/>
          <w:color w:val="000000"/>
          <w:sz w:val="24"/>
          <w:szCs w:val="24"/>
        </w:rPr>
        <w:t xml:space="preserve">będą podstawą działań umożliwiających </w:t>
      </w:r>
      <w:r w:rsidR="000354A3" w:rsidRPr="004B6B00">
        <w:rPr>
          <w:rFonts w:ascii="Bahnschrift Light" w:hAnsi="Bahnschrift Light" w:cs="Calibri"/>
          <w:color w:val="000000"/>
          <w:sz w:val="24"/>
          <w:szCs w:val="24"/>
        </w:rPr>
        <w:t xml:space="preserve"> usprawnienie istniejących w Instytucie procedur i praktyk. Wyniki ankiety </w:t>
      </w:r>
      <w:r w:rsidR="00CD5483" w:rsidRPr="004B6B00">
        <w:rPr>
          <w:rFonts w:ascii="Bahnschrift Light" w:hAnsi="Bahnschrift Light" w:cs="Calibri"/>
          <w:color w:val="000000"/>
          <w:sz w:val="24"/>
          <w:szCs w:val="24"/>
        </w:rPr>
        <w:t xml:space="preserve">zostały opisane przy każdym z czterech filarów. </w:t>
      </w:r>
    </w:p>
    <w:p w14:paraId="556802DF" w14:textId="124309B8" w:rsidR="006F44A2" w:rsidRPr="004B6B00" w:rsidRDefault="006F44A2" w:rsidP="006710C8">
      <w:pPr>
        <w:jc w:val="both"/>
        <w:rPr>
          <w:rFonts w:ascii="Bahnschrift Light" w:hAnsi="Bahnschrift Light" w:cs="Calibri"/>
          <w:color w:val="000000"/>
          <w:sz w:val="24"/>
          <w:szCs w:val="24"/>
        </w:rPr>
      </w:pPr>
    </w:p>
    <w:p w14:paraId="7F1D922E" w14:textId="64E9A206" w:rsidR="006F44A2" w:rsidRPr="004B6B00" w:rsidRDefault="00C6563B" w:rsidP="006C0A84">
      <w:pPr>
        <w:pStyle w:val="Nagwek1"/>
      </w:pPr>
      <w:bookmarkStart w:id="9" w:name="_Toc189226039"/>
      <w:r w:rsidRPr="004B6B00">
        <w:rPr>
          <w:rFonts w:cs="Arial"/>
        </w:rPr>
        <w:t xml:space="preserve">3. </w:t>
      </w:r>
      <w:r w:rsidR="006F44A2" w:rsidRPr="004B6B00">
        <w:rPr>
          <w:rFonts w:cs="Arial"/>
        </w:rPr>
        <w:t xml:space="preserve">Analiza 4 filarów </w:t>
      </w:r>
      <w:r w:rsidR="006F44A2" w:rsidRPr="004B6B00">
        <w:t>Europejskiej Karty Naukowca</w:t>
      </w:r>
      <w:bookmarkEnd w:id="9"/>
    </w:p>
    <w:p w14:paraId="56BB285A" w14:textId="77777777" w:rsidR="006F44A2" w:rsidRPr="004B6B00" w:rsidRDefault="006F44A2" w:rsidP="006710C8">
      <w:pPr>
        <w:pStyle w:val="Default"/>
        <w:jc w:val="both"/>
        <w:rPr>
          <w:rFonts w:ascii="Bahnschrift Light" w:hAnsi="Bahnschrift Light" w:cs="Arial"/>
          <w:b/>
          <w:bCs/>
          <w:color w:val="7030A0"/>
        </w:rPr>
      </w:pPr>
    </w:p>
    <w:p w14:paraId="4E3489E4" w14:textId="77777777" w:rsidR="00C6563B" w:rsidRPr="004B6B00" w:rsidRDefault="00C6563B" w:rsidP="006C0A84">
      <w:pPr>
        <w:pStyle w:val="Nagwek1"/>
      </w:pPr>
      <w:bookmarkStart w:id="10" w:name="_Toc189226040"/>
      <w:r w:rsidRPr="004B6B00">
        <w:t>FILAR 1</w:t>
      </w:r>
      <w:bookmarkEnd w:id="10"/>
    </w:p>
    <w:p w14:paraId="2C7DF343" w14:textId="2AF1C5E1" w:rsidR="006F44A2" w:rsidRPr="004B6B00" w:rsidRDefault="0096725D" w:rsidP="006C0A84">
      <w:pPr>
        <w:pStyle w:val="Nagwek1"/>
      </w:pPr>
      <w:bookmarkStart w:id="11" w:name="_Toc189226041"/>
      <w:r w:rsidRPr="004B6B00">
        <w:t>Etyka</w:t>
      </w:r>
      <w:r w:rsidR="0078698C" w:rsidRPr="004B6B00">
        <w:t>,</w:t>
      </w:r>
      <w:r w:rsidRPr="004B6B00">
        <w:t xml:space="preserve"> rzetelność, aspekt płci, otwarta nauka</w:t>
      </w:r>
      <w:bookmarkEnd w:id="11"/>
      <w:r w:rsidRPr="004B6B00">
        <w:t xml:space="preserve"> </w:t>
      </w:r>
    </w:p>
    <w:p w14:paraId="2D17E8E2" w14:textId="20CE7A0D" w:rsidR="006F44A2" w:rsidRPr="004B6B00" w:rsidRDefault="006F44A2" w:rsidP="006710C8">
      <w:pPr>
        <w:pStyle w:val="Default"/>
        <w:jc w:val="both"/>
        <w:rPr>
          <w:rFonts w:ascii="Bahnschrift Light" w:hAnsi="Bahnschrift Light" w:cs="Arial"/>
        </w:rPr>
      </w:pPr>
    </w:p>
    <w:p w14:paraId="76EA1140" w14:textId="2A724170" w:rsidR="006F44A2" w:rsidRPr="004B6B00" w:rsidRDefault="006F44A2" w:rsidP="006C0A84">
      <w:pPr>
        <w:pStyle w:val="Nagwek2"/>
      </w:pPr>
      <w:bookmarkStart w:id="12" w:name="_Toc189226042"/>
      <w:r w:rsidRPr="004B6B00">
        <w:t>1. Etyka i rzetelność badawcza</w:t>
      </w:r>
      <w:bookmarkEnd w:id="12"/>
      <w:r w:rsidRPr="004B6B00">
        <w:t xml:space="preserve"> </w:t>
      </w:r>
    </w:p>
    <w:p w14:paraId="6F07C174" w14:textId="5EFA485D" w:rsidR="00770B9A" w:rsidRPr="004B6B00" w:rsidRDefault="002048F7" w:rsidP="006710C8">
      <w:pPr>
        <w:pStyle w:val="Default"/>
        <w:jc w:val="both"/>
        <w:rPr>
          <w:rFonts w:ascii="Bahnschrift Light" w:hAnsi="Bahnschrift Light"/>
        </w:rPr>
      </w:pPr>
      <w:r w:rsidRPr="002048F7">
        <w:rPr>
          <w:rFonts w:ascii="Bahnschrift Light" w:hAnsi="Bahnschrift Light"/>
        </w:rPr>
        <w:t>Etyka i rzetelność badawcza stanowią fundament nauki, a główna odpowiedzialność za ich przestrzeganie spoczywa na samych naukowcach. Wspieranie tej odpowiedzialności wymaga jednak działań instytucjonalnych, w tym tworzenia norm, procedur i wytycznych, organizacji szkoleń oraz mentoringu opartego na najlepszych praktykach.</w:t>
      </w:r>
    </w:p>
    <w:p w14:paraId="5A6BE582" w14:textId="77777777" w:rsidR="00770B9A" w:rsidRDefault="00770B9A" w:rsidP="006710C8">
      <w:pPr>
        <w:pStyle w:val="Default"/>
        <w:jc w:val="both"/>
        <w:rPr>
          <w:rFonts w:ascii="Bahnschrift Light" w:hAnsi="Bahnschrift Light"/>
        </w:rPr>
      </w:pPr>
    </w:p>
    <w:p w14:paraId="28A900D9" w14:textId="77777777" w:rsidR="00770B9A" w:rsidRPr="00770B9A" w:rsidRDefault="00770B9A" w:rsidP="00770B9A">
      <w:pPr>
        <w:pStyle w:val="Default"/>
        <w:jc w:val="both"/>
        <w:rPr>
          <w:rFonts w:ascii="Bahnschrift Light" w:hAnsi="Bahnschrift Light"/>
        </w:rPr>
      </w:pPr>
      <w:r w:rsidRPr="00770B9A">
        <w:rPr>
          <w:rFonts w:ascii="Bahnschrift Light" w:hAnsi="Bahnschrift Light"/>
        </w:rPr>
        <w:t>Aby wspierać dobre praktyki badawcze i kulturę rzetelności badawczej, należy uwzględnić następujące wymiary:</w:t>
      </w:r>
    </w:p>
    <w:p w14:paraId="76925D18" w14:textId="77777777" w:rsidR="00770B9A" w:rsidRPr="00770B9A" w:rsidRDefault="00770B9A" w:rsidP="00770B9A">
      <w:pPr>
        <w:pStyle w:val="Default"/>
        <w:jc w:val="both"/>
        <w:rPr>
          <w:rFonts w:ascii="Bahnschrift Light" w:hAnsi="Bahnschrift Light"/>
        </w:rPr>
      </w:pPr>
    </w:p>
    <w:p w14:paraId="007F8C44" w14:textId="557B1213" w:rsidR="00770B9A" w:rsidRPr="00770B9A" w:rsidRDefault="00770B9A" w:rsidP="00770B9A">
      <w:pPr>
        <w:pStyle w:val="Default"/>
        <w:jc w:val="both"/>
        <w:rPr>
          <w:rFonts w:ascii="Bahnschrift Light" w:hAnsi="Bahnschrift Light"/>
        </w:rPr>
      </w:pPr>
      <w:r>
        <w:rPr>
          <w:rFonts w:ascii="Bahnschrift Light" w:hAnsi="Bahnschrift Light"/>
        </w:rPr>
        <w:t>r</w:t>
      </w:r>
      <w:r w:rsidRPr="00770B9A">
        <w:rPr>
          <w:rFonts w:ascii="Bahnschrift Light" w:hAnsi="Bahnschrift Light"/>
        </w:rPr>
        <w:t>zetelność w środowisku badawczym</w:t>
      </w:r>
      <w:r>
        <w:rPr>
          <w:rFonts w:ascii="Bahnschrift Light" w:hAnsi="Bahnschrift Light"/>
        </w:rPr>
        <w:t>; s</w:t>
      </w:r>
      <w:r w:rsidRPr="00770B9A">
        <w:rPr>
          <w:rFonts w:ascii="Bahnschrift Light" w:hAnsi="Bahnschrift Light"/>
        </w:rPr>
        <w:t>zkolenia i budowanie zdolności</w:t>
      </w:r>
      <w:r>
        <w:rPr>
          <w:rFonts w:ascii="Bahnschrift Light" w:hAnsi="Bahnschrift Light"/>
        </w:rPr>
        <w:t>; p</w:t>
      </w:r>
      <w:r w:rsidRPr="00770B9A">
        <w:rPr>
          <w:rFonts w:ascii="Bahnschrift Light" w:hAnsi="Bahnschrift Light"/>
        </w:rPr>
        <w:t>olityki i procesy</w:t>
      </w:r>
      <w:r>
        <w:rPr>
          <w:rFonts w:ascii="Bahnschrift Light" w:hAnsi="Bahnschrift Light"/>
        </w:rPr>
        <w:t xml:space="preserve"> (</w:t>
      </w:r>
      <w:r w:rsidRPr="00770B9A">
        <w:rPr>
          <w:rFonts w:ascii="Bahnschrift Light" w:hAnsi="Bahnschrift Light"/>
        </w:rPr>
        <w:t>uwzględnia</w:t>
      </w:r>
      <w:r>
        <w:rPr>
          <w:rFonts w:ascii="Bahnschrift Light" w:hAnsi="Bahnschrift Light"/>
        </w:rPr>
        <w:t>nie</w:t>
      </w:r>
      <w:r w:rsidRPr="00770B9A">
        <w:rPr>
          <w:rFonts w:ascii="Bahnschrift Light" w:hAnsi="Bahnschrift Light"/>
        </w:rPr>
        <w:t xml:space="preserve"> zasad rzetelności w regulaminach, politykach i procedurach instytucji badawczych, a także zapewni</w:t>
      </w:r>
      <w:r>
        <w:rPr>
          <w:rFonts w:ascii="Bahnschrift Light" w:hAnsi="Bahnschrift Light"/>
        </w:rPr>
        <w:t>enie</w:t>
      </w:r>
      <w:r w:rsidRPr="00770B9A">
        <w:rPr>
          <w:rFonts w:ascii="Bahnschrift Light" w:hAnsi="Bahnschrift Light"/>
        </w:rPr>
        <w:t xml:space="preserve"> transparentnoś</w:t>
      </w:r>
      <w:r>
        <w:rPr>
          <w:rFonts w:ascii="Bahnschrift Light" w:hAnsi="Bahnschrift Light"/>
        </w:rPr>
        <w:t>ci</w:t>
      </w:r>
      <w:r w:rsidRPr="00770B9A">
        <w:rPr>
          <w:rFonts w:ascii="Bahnschrift Light" w:hAnsi="Bahnschrift Light"/>
        </w:rPr>
        <w:t xml:space="preserve"> tych zasad</w:t>
      </w:r>
      <w:r>
        <w:rPr>
          <w:rFonts w:ascii="Bahnschrift Light" w:hAnsi="Bahnschrift Light"/>
        </w:rPr>
        <w:t>); z</w:t>
      </w:r>
      <w:r w:rsidRPr="00770B9A">
        <w:rPr>
          <w:rFonts w:ascii="Bahnschrift Light" w:hAnsi="Bahnschrift Light"/>
        </w:rPr>
        <w:t>arządzanie danymi i publikacjami</w:t>
      </w:r>
      <w:r>
        <w:rPr>
          <w:rFonts w:ascii="Bahnschrift Light" w:hAnsi="Bahnschrift Light"/>
        </w:rPr>
        <w:t>.</w:t>
      </w:r>
    </w:p>
    <w:p w14:paraId="473F08CD" w14:textId="3051969C" w:rsidR="00770B9A" w:rsidRDefault="00770B9A" w:rsidP="00770B9A">
      <w:pPr>
        <w:pStyle w:val="Default"/>
        <w:jc w:val="both"/>
        <w:rPr>
          <w:rFonts w:ascii="Bahnschrift Light" w:hAnsi="Bahnschrift Light"/>
        </w:rPr>
      </w:pPr>
      <w:r w:rsidRPr="00770B9A">
        <w:rPr>
          <w:rFonts w:ascii="Bahnschrift Light" w:hAnsi="Bahnschrift Light"/>
        </w:rPr>
        <w:t>Należy również wdrożyć mechanizmy przeciwdziałania nierzetelnośc</w:t>
      </w:r>
      <w:r>
        <w:rPr>
          <w:rFonts w:ascii="Bahnschrift Light" w:hAnsi="Bahnschrift Light"/>
        </w:rPr>
        <w:t xml:space="preserve">i. </w:t>
      </w:r>
      <w:r w:rsidRPr="00770B9A">
        <w:rPr>
          <w:rFonts w:ascii="Bahnschrift Light" w:hAnsi="Bahnschrift Light"/>
        </w:rPr>
        <w:t>Instytucje powinny wdrożyć systemy umożliwiające identyfikację, zgłaszanie oraz skuteczne rozwiązywanie przypadków nierzetelności badawczej.</w:t>
      </w:r>
    </w:p>
    <w:p w14:paraId="624BE8C0" w14:textId="77777777" w:rsidR="00770B9A" w:rsidRDefault="00770B9A" w:rsidP="006710C8">
      <w:pPr>
        <w:pStyle w:val="Default"/>
        <w:jc w:val="both"/>
        <w:rPr>
          <w:rFonts w:ascii="Bahnschrift Light" w:hAnsi="Bahnschrift Light"/>
        </w:rPr>
      </w:pPr>
    </w:p>
    <w:p w14:paraId="3395DD93" w14:textId="29D2E18C" w:rsidR="00770B9A" w:rsidRPr="00770B9A" w:rsidRDefault="00770B9A" w:rsidP="00770B9A">
      <w:pPr>
        <w:pStyle w:val="Default"/>
        <w:jc w:val="both"/>
        <w:rPr>
          <w:rFonts w:ascii="Bahnschrift Light" w:hAnsi="Bahnschrift Light"/>
        </w:rPr>
      </w:pPr>
      <w:r w:rsidRPr="00770B9A">
        <w:rPr>
          <w:rFonts w:ascii="Bahnschrift Light" w:hAnsi="Bahnschrift Light"/>
        </w:rPr>
        <w:t xml:space="preserve">Naukowcy </w:t>
      </w:r>
      <w:r>
        <w:rPr>
          <w:rFonts w:ascii="Bahnschrift Light" w:hAnsi="Bahnschrift Light"/>
        </w:rPr>
        <w:t>są zobowiązani do unikania</w:t>
      </w:r>
      <w:r w:rsidRPr="00770B9A">
        <w:rPr>
          <w:rFonts w:ascii="Bahnschrift Light" w:hAnsi="Bahnschrift Light"/>
        </w:rPr>
        <w:t xml:space="preserve"> plagiatu w każdej formie. </w:t>
      </w:r>
      <w:r w:rsidRPr="004B6B00">
        <w:rPr>
          <w:rFonts w:ascii="Bahnschrift Light" w:hAnsi="Bahnschrift Light"/>
        </w:rPr>
        <w:t xml:space="preserve">Szczególną uwagę należy zwrócić na zasady wspólnej własności, gdy badania prowadzone są we współpracy z opiekunami lub innymi naukowcami – stosownie do dyscypliny– oraz na przepisy </w:t>
      </w:r>
      <w:r w:rsidRPr="004B6B00">
        <w:rPr>
          <w:rFonts w:ascii="Bahnschrift Light" w:hAnsi="Bahnschrift Light"/>
        </w:rPr>
        <w:lastRenderedPageBreak/>
        <w:t>dotyczące własności intelektualnej.</w:t>
      </w:r>
      <w:r w:rsidRPr="00770B9A">
        <w:rPr>
          <w:rFonts w:ascii="Bahnschrift Light" w:hAnsi="Bahnschrift Light"/>
        </w:rPr>
        <w:t xml:space="preserve"> Podczas realizacji projektów badawczych na wszystkich etapach – od koncepcji, przez przygotowywanie wniosków, po publikację wyników – należy szczególną uwagę </w:t>
      </w:r>
      <w:r>
        <w:rPr>
          <w:rFonts w:ascii="Bahnschrift Light" w:hAnsi="Bahnschrift Light"/>
        </w:rPr>
        <w:t xml:space="preserve">zwrócić na </w:t>
      </w:r>
      <w:r w:rsidRPr="00770B9A">
        <w:rPr>
          <w:rFonts w:ascii="Bahnschrift Light" w:hAnsi="Bahnschrift Light"/>
        </w:rPr>
        <w:t>poprawnoś</w:t>
      </w:r>
      <w:r>
        <w:rPr>
          <w:rFonts w:ascii="Bahnschrift Light" w:hAnsi="Bahnschrift Light"/>
        </w:rPr>
        <w:t>ć</w:t>
      </w:r>
      <w:r w:rsidRPr="00770B9A">
        <w:rPr>
          <w:rFonts w:ascii="Bahnschrift Light" w:hAnsi="Bahnschrift Light"/>
        </w:rPr>
        <w:t xml:space="preserve"> cytowania i uznani</w:t>
      </w:r>
      <w:r w:rsidR="00140767">
        <w:rPr>
          <w:rFonts w:ascii="Bahnschrift Light" w:hAnsi="Bahnschrift Light"/>
        </w:rPr>
        <w:t>e</w:t>
      </w:r>
      <w:r w:rsidRPr="00770B9A">
        <w:rPr>
          <w:rFonts w:ascii="Bahnschrift Light" w:hAnsi="Bahnschrift Light"/>
        </w:rPr>
        <w:t xml:space="preserve"> wkładu wszystkich uczestników.</w:t>
      </w:r>
      <w:r>
        <w:rPr>
          <w:rFonts w:ascii="Bahnschrift Light" w:hAnsi="Bahnschrift Light"/>
        </w:rPr>
        <w:t xml:space="preserve"> </w:t>
      </w:r>
    </w:p>
    <w:p w14:paraId="7A77B296" w14:textId="609EF0FF" w:rsidR="00770B9A" w:rsidRDefault="00770B9A" w:rsidP="00770B9A">
      <w:pPr>
        <w:pStyle w:val="Default"/>
        <w:jc w:val="both"/>
        <w:rPr>
          <w:rFonts w:ascii="Bahnschrift Light" w:hAnsi="Bahnschrift Light"/>
        </w:rPr>
      </w:pPr>
      <w:r w:rsidRPr="00770B9A">
        <w:rPr>
          <w:rFonts w:ascii="Bahnschrift Light" w:hAnsi="Bahnschrift Light"/>
        </w:rPr>
        <w:t>Ważnym aspektem rzetelności badawczej jest również potwierdzanie obserwacji poprzez wykazanie powtarzalności wyników</w:t>
      </w:r>
      <w:r w:rsidR="00140767">
        <w:rPr>
          <w:rFonts w:ascii="Bahnschrift Light" w:hAnsi="Bahnschrift Light"/>
        </w:rPr>
        <w:t xml:space="preserve"> innych autorów</w:t>
      </w:r>
      <w:r w:rsidRPr="00770B9A">
        <w:rPr>
          <w:rFonts w:ascii="Bahnschrift Light" w:hAnsi="Bahnschrift Light"/>
        </w:rPr>
        <w:t>. Nie jest to traktowane jako plagiat, o ile oryginalne dane i badania, które są weryfikowane, zostały wyraźnie wskazane.</w:t>
      </w:r>
    </w:p>
    <w:p w14:paraId="1168BCF2" w14:textId="77777777" w:rsidR="00770B9A" w:rsidRDefault="00770B9A" w:rsidP="006710C8">
      <w:pPr>
        <w:pStyle w:val="Default"/>
        <w:jc w:val="both"/>
        <w:rPr>
          <w:rFonts w:ascii="Bahnschrift Light" w:hAnsi="Bahnschrift Light"/>
        </w:rPr>
      </w:pPr>
    </w:p>
    <w:p w14:paraId="31E9BE5D" w14:textId="2B34BB9E" w:rsidR="004803FE" w:rsidRPr="004B6B00" w:rsidRDefault="00770B9A" w:rsidP="006710C8">
      <w:pPr>
        <w:pStyle w:val="Default"/>
        <w:jc w:val="both"/>
        <w:rPr>
          <w:rFonts w:ascii="Bahnschrift Light" w:hAnsi="Bahnschrift Light"/>
        </w:rPr>
      </w:pPr>
      <w:r w:rsidRPr="00770B9A">
        <w:rPr>
          <w:rFonts w:ascii="Bahnschrift Light" w:hAnsi="Bahnschrift Light"/>
        </w:rPr>
        <w:t xml:space="preserve">Etyka i rzetelność nabierają szczególnego znaczenia w relacjach nadzorczych. Kluczowe jest stworzenie bezpiecznego, </w:t>
      </w:r>
      <w:proofErr w:type="spellStart"/>
      <w:r w:rsidRPr="00770B9A">
        <w:rPr>
          <w:rFonts w:ascii="Bahnschrift Light" w:hAnsi="Bahnschrift Light"/>
        </w:rPr>
        <w:t>inkluzywnego</w:t>
      </w:r>
      <w:proofErr w:type="spellEnd"/>
      <w:r w:rsidRPr="00770B9A">
        <w:rPr>
          <w:rFonts w:ascii="Bahnschrift Light" w:hAnsi="Bahnschrift Light"/>
        </w:rPr>
        <w:t xml:space="preserve"> i równego pod względem płci środowiska badawczego, wolnego od wszelkich form dyskryminacji, molestowania, nękania psychicznego, czy utrudnień w nauce i pracy badawczej. W przypadku naruszeń, takich jak przywłaszczenie danych lub wyników badań, konieczne jest podjęcie natychmiastowych działań naprawczych i przeciwdziałających takim praktykom.</w:t>
      </w:r>
      <w:r w:rsidRPr="00770B9A">
        <w:rPr>
          <w:rFonts w:ascii="Bahnschrift Light" w:hAnsi="Bahnschrift Light"/>
          <w:color w:val="auto"/>
        </w:rPr>
        <w:t xml:space="preserve"> </w:t>
      </w:r>
      <w:r w:rsidRPr="004B6B00">
        <w:rPr>
          <w:rFonts w:ascii="Bahnschrift Light" w:hAnsi="Bahnschrift Light"/>
          <w:color w:val="auto"/>
        </w:rPr>
        <w:t>Wymagane działania: tak.</w:t>
      </w:r>
    </w:p>
    <w:p w14:paraId="687C0708" w14:textId="77777777" w:rsidR="004803FE" w:rsidRPr="004B6B00" w:rsidRDefault="004803FE" w:rsidP="006710C8">
      <w:pPr>
        <w:pStyle w:val="Default"/>
        <w:jc w:val="both"/>
        <w:rPr>
          <w:rFonts w:ascii="Bahnschrift Light" w:hAnsi="Bahnschrift Light"/>
        </w:rPr>
      </w:pPr>
    </w:p>
    <w:p w14:paraId="0CA4C222" w14:textId="04C5F0B2" w:rsidR="006F44A2" w:rsidRPr="004B6B00" w:rsidRDefault="006F44A2" w:rsidP="006C0A84">
      <w:pPr>
        <w:pStyle w:val="Nagwek2"/>
      </w:pPr>
      <w:bookmarkStart w:id="13" w:name="_Toc189226043"/>
      <w:r w:rsidRPr="004B6B00">
        <w:t>2 Wolność badań naukowych</w:t>
      </w:r>
      <w:bookmarkEnd w:id="13"/>
      <w:r w:rsidRPr="004B6B00">
        <w:t xml:space="preserve"> </w:t>
      </w:r>
    </w:p>
    <w:p w14:paraId="3DB75650" w14:textId="77777777" w:rsidR="00140767" w:rsidRDefault="00140767" w:rsidP="006710C8">
      <w:pPr>
        <w:pStyle w:val="Default"/>
        <w:jc w:val="both"/>
        <w:rPr>
          <w:rFonts w:ascii="Bahnschrift Light" w:hAnsi="Bahnschrift Light"/>
        </w:rPr>
      </w:pPr>
    </w:p>
    <w:p w14:paraId="16552B82" w14:textId="25498F83" w:rsidR="00140767" w:rsidRDefault="00140767" w:rsidP="006710C8">
      <w:pPr>
        <w:pStyle w:val="Default"/>
        <w:jc w:val="both"/>
        <w:rPr>
          <w:rFonts w:ascii="Bahnschrift Light" w:hAnsi="Bahnschrift Light"/>
        </w:rPr>
      </w:pPr>
      <w:r w:rsidRPr="00140767">
        <w:rPr>
          <w:rFonts w:ascii="Bahnschrift Light" w:hAnsi="Bahnschrift Light"/>
        </w:rPr>
        <w:t>Wolność badań naukowych jest fundamentem współpracy badawczej zarówno w ramach europejskiej przestrzeni badawczej, jak i w partnerstwach międzynarodowych. Stanowi fundament, który umożliwia prowadzenie badań z korzyścią dla ludzkości oraz poszerzanie granic wiedzy. Naukowcy powinni mieć swobodę myśli, opinii i wypowiedzi, formułowania pytań badawczych, wyboru metod rozwiązywania problemów, rozwijania i testowania teorii, kwestionowania ustalonego stanu wiedzy oraz przedstawiania nowych idei. W ramach tej wolności przysługuje im również prawo do zrzeszania się w profesjonalnych i przedstawicielskich organach akademickich.</w:t>
      </w:r>
    </w:p>
    <w:p w14:paraId="0BEAF38F" w14:textId="51BCFAE5" w:rsidR="00140767" w:rsidRPr="00140767" w:rsidRDefault="00140767" w:rsidP="00140767">
      <w:pPr>
        <w:pStyle w:val="Default"/>
        <w:jc w:val="both"/>
        <w:rPr>
          <w:rFonts w:ascii="Bahnschrift Light" w:hAnsi="Bahnschrift Light"/>
        </w:rPr>
      </w:pPr>
      <w:r w:rsidRPr="00140767">
        <w:rPr>
          <w:rFonts w:ascii="Bahnschrift Light" w:hAnsi="Bahnschrift Light"/>
        </w:rPr>
        <w:t xml:space="preserve">Wolność badań obejmuje także prawo do upowszechniania i publikowania wyników </w:t>
      </w:r>
      <w:r>
        <w:rPr>
          <w:rFonts w:ascii="Bahnschrift Light" w:hAnsi="Bahnschrift Light"/>
        </w:rPr>
        <w:t>badań</w:t>
      </w:r>
      <w:r w:rsidRPr="00140767">
        <w:rPr>
          <w:rFonts w:ascii="Bahnschrift Light" w:hAnsi="Bahnschrift Light"/>
        </w:rPr>
        <w:t>, w tym w ramach działalności dydaktycznej i szkoleniowej. Jednakże, wolność ta podlega pewnym ograniczeniom, wynikającym z warunków prowadzenia badań, takich jak nadzór naukowy, doradztwo czy zarządzanie projektami. Ograniczenia te mogą być również związane z regulacjami prawnymi, w tym ochroną własności intelektualnej, przepisami dotyczącymi ochrony danych osobowych oraz zasadami etyki badań. Mogą one wynikać także z uwarunkowań operacyjnych, takich jak dostępność infrastruktury badawczej, budżetu czy innych zasobów.</w:t>
      </w:r>
    </w:p>
    <w:p w14:paraId="4F8E674D" w14:textId="77777777" w:rsidR="00140767" w:rsidRPr="00140767" w:rsidRDefault="00140767" w:rsidP="00140767">
      <w:pPr>
        <w:pStyle w:val="Default"/>
        <w:jc w:val="both"/>
        <w:rPr>
          <w:rFonts w:ascii="Bahnschrift Light" w:hAnsi="Bahnschrift Light"/>
        </w:rPr>
      </w:pPr>
    </w:p>
    <w:p w14:paraId="7C492BE9" w14:textId="77777777" w:rsidR="00140767" w:rsidRDefault="00140767" w:rsidP="006710C8">
      <w:pPr>
        <w:pStyle w:val="Default"/>
        <w:jc w:val="both"/>
        <w:rPr>
          <w:rFonts w:ascii="Bahnschrift Light" w:hAnsi="Bahnschrift Light"/>
        </w:rPr>
      </w:pPr>
    </w:p>
    <w:p w14:paraId="27B84BD3" w14:textId="144C5C6A" w:rsidR="006F44A2" w:rsidRPr="004B6B00" w:rsidRDefault="006F44A2" w:rsidP="006C0A84">
      <w:pPr>
        <w:pStyle w:val="Nagwek2"/>
      </w:pPr>
      <w:bookmarkStart w:id="14" w:name="_Toc189226044"/>
      <w:r w:rsidRPr="004B6B00">
        <w:t>3. Otwarta nauka</w:t>
      </w:r>
      <w:bookmarkEnd w:id="14"/>
      <w:r w:rsidRPr="004B6B00">
        <w:t xml:space="preserve"> </w:t>
      </w:r>
    </w:p>
    <w:p w14:paraId="5E845912" w14:textId="77777777" w:rsidR="00140767" w:rsidRDefault="00140767" w:rsidP="006710C8">
      <w:pPr>
        <w:pStyle w:val="Default"/>
        <w:jc w:val="both"/>
        <w:rPr>
          <w:rFonts w:ascii="Bahnschrift Light" w:hAnsi="Bahnschrift Light"/>
        </w:rPr>
      </w:pPr>
    </w:p>
    <w:p w14:paraId="0E9D6FA9" w14:textId="327B7582" w:rsidR="00140767" w:rsidRPr="00140767" w:rsidRDefault="00A532DA" w:rsidP="00140767">
      <w:pPr>
        <w:pStyle w:val="Default"/>
        <w:jc w:val="both"/>
        <w:rPr>
          <w:rFonts w:ascii="Bahnschrift Light" w:hAnsi="Bahnschrift Light"/>
        </w:rPr>
      </w:pPr>
      <w:r w:rsidRPr="004B6B00">
        <w:rPr>
          <w:rFonts w:ascii="Bahnschrift Light" w:hAnsi="Bahnschrift Light"/>
        </w:rPr>
        <w:t xml:space="preserve">Naukowcy powinni angażować się we wszystkie aspekty otwartej nauki, a ich pracodawcy i </w:t>
      </w:r>
      <w:proofErr w:type="spellStart"/>
      <w:r w:rsidRPr="004B6B00">
        <w:rPr>
          <w:rFonts w:ascii="Bahnschrift Light" w:hAnsi="Bahnschrift Light"/>
        </w:rPr>
        <w:t>grantodawcy</w:t>
      </w:r>
      <w:proofErr w:type="spellEnd"/>
      <w:r w:rsidRPr="004B6B00">
        <w:rPr>
          <w:rFonts w:ascii="Bahnschrift Light" w:hAnsi="Bahnschrift Light"/>
        </w:rPr>
        <w:t xml:space="preserve"> powinni </w:t>
      </w:r>
      <w:r w:rsidR="00140767" w:rsidRPr="00140767">
        <w:rPr>
          <w:rFonts w:ascii="Bahnschrift Light" w:hAnsi="Bahnschrift Light"/>
        </w:rPr>
        <w:t xml:space="preserve">wspierać ich w tych działaniach. Otwartość w nauce obejmuje dzielenie się wynikami badań w sposób dostępny i przejrzysty, na przykład poprzez otwarte bazy danych oraz dane zgodne z zasadami FAIR (możliwe do znalezienia, dostępne, </w:t>
      </w:r>
      <w:proofErr w:type="spellStart"/>
      <w:r w:rsidR="00140767" w:rsidRPr="00140767">
        <w:rPr>
          <w:rFonts w:ascii="Bahnschrift Light" w:hAnsi="Bahnschrift Light"/>
        </w:rPr>
        <w:t>interoperacyjne</w:t>
      </w:r>
      <w:proofErr w:type="spellEnd"/>
      <w:r w:rsidR="00140767" w:rsidRPr="00140767">
        <w:rPr>
          <w:rFonts w:ascii="Bahnschrift Light" w:hAnsi="Bahnschrift Light"/>
        </w:rPr>
        <w:t xml:space="preserve"> i nadające się do ponownego wykorzystania). Ważnym elementem otwartej nauki jest także zapewnienie otwartego dostępu do publikacji, otwartego oprogramowania, modeli i algorytmów, a także podejmowanie działań na rzecz odtwarzalności wyników badań.</w:t>
      </w:r>
    </w:p>
    <w:p w14:paraId="24B9176F" w14:textId="77777777" w:rsidR="00140767" w:rsidRPr="00140767" w:rsidRDefault="00140767" w:rsidP="00140767">
      <w:pPr>
        <w:pStyle w:val="Default"/>
        <w:jc w:val="both"/>
        <w:rPr>
          <w:rFonts w:ascii="Bahnschrift Light" w:hAnsi="Bahnschrift Light"/>
        </w:rPr>
      </w:pPr>
      <w:r w:rsidRPr="00140767">
        <w:rPr>
          <w:rFonts w:ascii="Bahnschrift Light" w:hAnsi="Bahnschrift Light"/>
        </w:rPr>
        <w:t xml:space="preserve">Naukowcy powinni stosować metody otwartej nauki, angażować się w otwartą wzajemną ocenę i promować praktyki wspierające otwartość w badaniach. Pracodawcy oraz </w:t>
      </w:r>
      <w:proofErr w:type="spellStart"/>
      <w:r w:rsidRPr="00140767">
        <w:rPr>
          <w:rFonts w:ascii="Bahnschrift Light" w:hAnsi="Bahnschrift Light"/>
        </w:rPr>
        <w:t>grantodawcy</w:t>
      </w:r>
      <w:proofErr w:type="spellEnd"/>
      <w:r w:rsidRPr="00140767">
        <w:rPr>
          <w:rFonts w:ascii="Bahnschrift Light" w:hAnsi="Bahnschrift Light"/>
        </w:rPr>
        <w:t xml:space="preserve"> powinni tworzyć i promować kulturę otwartej nauki, wspierając dostęp do wyników badań w myśl zasady „otwarty w największym możliwym zakresie, zamknięty tylko w koniecznym”.</w:t>
      </w:r>
    </w:p>
    <w:p w14:paraId="74CACE1D" w14:textId="77777777" w:rsidR="00140767" w:rsidRPr="00140767" w:rsidRDefault="00140767" w:rsidP="00140767">
      <w:pPr>
        <w:pStyle w:val="Default"/>
        <w:jc w:val="both"/>
        <w:rPr>
          <w:rFonts w:ascii="Bahnschrift Light" w:hAnsi="Bahnschrift Light"/>
        </w:rPr>
      </w:pPr>
      <w:r w:rsidRPr="00140767">
        <w:rPr>
          <w:rFonts w:ascii="Bahnschrift Light" w:hAnsi="Bahnschrift Light"/>
        </w:rPr>
        <w:t xml:space="preserve">Promowanie otwartej nauki wymaga upowszechniania otwartego dostępu do publikacji naukowych, danych badawczych i innych produktów badań. Wsparcie to powinno obejmować zapewnienie odpowiednich narzędzi, infrastruktury oraz rozwój i integrację </w:t>
      </w:r>
      <w:r w:rsidRPr="00140767">
        <w:rPr>
          <w:rFonts w:ascii="Bahnschrift Light" w:hAnsi="Bahnschrift Light"/>
        </w:rPr>
        <w:lastRenderedPageBreak/>
        <w:t>cyfrowych usług i zasobów badawczych. Kluczowe jest również uwzględnienie różnic między dyscyplinami naukowymi, różnic kulturowych, w tym wielojęzyczności, oraz rozwijanie umiejętności związanych z otwartą nauką.</w:t>
      </w:r>
    </w:p>
    <w:p w14:paraId="23522EBD" w14:textId="77777777" w:rsidR="00140767" w:rsidRPr="00140767" w:rsidRDefault="00140767" w:rsidP="00140767">
      <w:pPr>
        <w:pStyle w:val="Default"/>
        <w:jc w:val="both"/>
        <w:rPr>
          <w:rFonts w:ascii="Bahnschrift Light" w:hAnsi="Bahnschrift Light"/>
        </w:rPr>
      </w:pPr>
    </w:p>
    <w:p w14:paraId="7A1F7D04" w14:textId="77777777" w:rsidR="00140767" w:rsidRDefault="00140767" w:rsidP="006710C8">
      <w:pPr>
        <w:pStyle w:val="Default"/>
        <w:jc w:val="both"/>
        <w:rPr>
          <w:rFonts w:ascii="Bahnschrift Light" w:hAnsi="Bahnschrift Light"/>
        </w:rPr>
      </w:pPr>
    </w:p>
    <w:p w14:paraId="43F373E3" w14:textId="19428305" w:rsidR="00812284" w:rsidRPr="004B6B00" w:rsidRDefault="004B6B00" w:rsidP="006C0A84">
      <w:pPr>
        <w:pStyle w:val="Nagwek2"/>
      </w:pPr>
      <w:bookmarkStart w:id="15" w:name="_Toc189226045"/>
      <w:r>
        <w:t xml:space="preserve">4. </w:t>
      </w:r>
      <w:r w:rsidR="004803FE" w:rsidRPr="004B6B00">
        <w:t>Nauka obywatelska</w:t>
      </w:r>
      <w:bookmarkEnd w:id="15"/>
      <w:r w:rsidR="004803FE" w:rsidRPr="004B6B00">
        <w:t xml:space="preserve"> </w:t>
      </w:r>
    </w:p>
    <w:p w14:paraId="0D227018" w14:textId="77777777" w:rsidR="00A532DA" w:rsidRDefault="00A532DA" w:rsidP="006710C8">
      <w:pPr>
        <w:pStyle w:val="Default"/>
        <w:jc w:val="both"/>
        <w:rPr>
          <w:rFonts w:ascii="Bahnschrift Light" w:hAnsi="Bahnschrift Light"/>
        </w:rPr>
      </w:pPr>
    </w:p>
    <w:p w14:paraId="4FC1E765" w14:textId="4F66C8C9" w:rsidR="00261B6D" w:rsidRPr="00261B6D" w:rsidRDefault="00261B6D" w:rsidP="00261B6D">
      <w:pPr>
        <w:pStyle w:val="Default"/>
        <w:jc w:val="both"/>
        <w:rPr>
          <w:rFonts w:ascii="Bahnschrift Light" w:hAnsi="Bahnschrift Light"/>
        </w:rPr>
      </w:pPr>
      <w:r>
        <w:rPr>
          <w:rFonts w:ascii="Bahnschrift Light" w:hAnsi="Bahnschrift Light"/>
        </w:rPr>
        <w:t>N</w:t>
      </w:r>
      <w:r w:rsidRPr="00261B6D">
        <w:rPr>
          <w:rFonts w:ascii="Bahnschrift Light" w:hAnsi="Bahnschrift Light"/>
        </w:rPr>
        <w:t xml:space="preserve">aukowcy powinni, w możliwie </w:t>
      </w:r>
      <w:r>
        <w:rPr>
          <w:rFonts w:ascii="Bahnschrift Light" w:hAnsi="Bahnschrift Light"/>
        </w:rPr>
        <w:t xml:space="preserve">jak </w:t>
      </w:r>
      <w:r w:rsidRPr="00261B6D">
        <w:rPr>
          <w:rFonts w:ascii="Bahnschrift Light" w:hAnsi="Bahnschrift Light"/>
        </w:rPr>
        <w:t xml:space="preserve">największym stopniu i tam, gdzie jest to stosowne, włączać elementy nauki obywatelskiej do swoich projektów badawczych. </w:t>
      </w:r>
      <w:r w:rsidRPr="004B6B00">
        <w:rPr>
          <w:rFonts w:ascii="Bahnschrift Light" w:hAnsi="Bahnschrift Light"/>
        </w:rPr>
        <w:t xml:space="preserve">Oznacza to zaangażowanie obywateli w koncepcję, projektowanie i realizację projektów badawczych w dziedzinie STEM oraz nauk społecznych i humanistycznych. </w:t>
      </w:r>
    </w:p>
    <w:p w14:paraId="5CD6ED73" w14:textId="4B00AB97" w:rsidR="00261B6D" w:rsidRPr="00261B6D" w:rsidRDefault="00261B6D" w:rsidP="00261B6D">
      <w:pPr>
        <w:pStyle w:val="Default"/>
        <w:jc w:val="both"/>
        <w:rPr>
          <w:rFonts w:ascii="Bahnschrift Light" w:hAnsi="Bahnschrift Light"/>
        </w:rPr>
      </w:pPr>
      <w:r w:rsidRPr="00261B6D">
        <w:rPr>
          <w:rFonts w:ascii="Bahnschrift Light" w:hAnsi="Bahnschrift Light"/>
        </w:rPr>
        <w:t>Nauka obywatelska stanowi wyjątkową okazję do demokratyzacji nauki poprzez aktywną współpracę między naukowcami a społeczeństwem. Sprzyja budowaniu zaufania do nauki, a jednocześnie pozwala na wykorzystanie zbiorowej inteligencji i szerokich zdolności społeczeństwa w celu realizacji badań naukowych i innowacyjnych projektów.</w:t>
      </w:r>
    </w:p>
    <w:p w14:paraId="3C6033DD" w14:textId="77777777" w:rsidR="00261B6D" w:rsidRPr="00261B6D" w:rsidRDefault="00261B6D" w:rsidP="00261B6D">
      <w:pPr>
        <w:pStyle w:val="Default"/>
        <w:jc w:val="both"/>
        <w:rPr>
          <w:rFonts w:ascii="Bahnschrift Light" w:hAnsi="Bahnschrift Light"/>
        </w:rPr>
      </w:pPr>
    </w:p>
    <w:p w14:paraId="7D3F3AFD" w14:textId="77777777" w:rsidR="00C6563B" w:rsidRPr="004B6B00" w:rsidRDefault="00C6563B" w:rsidP="006710C8">
      <w:pPr>
        <w:pStyle w:val="Default"/>
        <w:jc w:val="both"/>
        <w:rPr>
          <w:rFonts w:ascii="Bahnschrift Light" w:hAnsi="Bahnschrift Light"/>
        </w:rPr>
      </w:pPr>
    </w:p>
    <w:p w14:paraId="64419D57" w14:textId="1BCBA79C" w:rsidR="006F44A2" w:rsidRPr="004B6B00" w:rsidRDefault="004B6B00" w:rsidP="006C0A84">
      <w:pPr>
        <w:pStyle w:val="Nagwek2"/>
      </w:pPr>
      <w:bookmarkStart w:id="16" w:name="_Toc189226046"/>
      <w:r>
        <w:t>5</w:t>
      </w:r>
      <w:r w:rsidR="006F44A2" w:rsidRPr="004B6B00">
        <w:t xml:space="preserve"> Równouprawnienie płci</w:t>
      </w:r>
      <w:bookmarkEnd w:id="16"/>
      <w:r w:rsidR="006F44A2" w:rsidRPr="004B6B00">
        <w:t xml:space="preserve"> </w:t>
      </w:r>
    </w:p>
    <w:p w14:paraId="008BEB77" w14:textId="77777777" w:rsidR="00261B6D" w:rsidRDefault="00261B6D" w:rsidP="006710C8">
      <w:pPr>
        <w:pStyle w:val="Default"/>
        <w:jc w:val="both"/>
        <w:rPr>
          <w:rFonts w:ascii="Bahnschrift Light" w:hAnsi="Bahnschrift Light"/>
        </w:rPr>
      </w:pPr>
    </w:p>
    <w:p w14:paraId="3AE71470" w14:textId="5EC7FE77" w:rsidR="00261B6D" w:rsidRPr="00261B6D" w:rsidRDefault="00261B6D" w:rsidP="00261B6D">
      <w:pPr>
        <w:pStyle w:val="Default"/>
        <w:jc w:val="both"/>
        <w:rPr>
          <w:rFonts w:ascii="Bahnschrift Light" w:hAnsi="Bahnschrift Light"/>
        </w:rPr>
      </w:pPr>
      <w:r w:rsidRPr="004B6B00">
        <w:rPr>
          <w:rFonts w:ascii="Bahnschrift Light" w:hAnsi="Bahnschrift Light"/>
        </w:rPr>
        <w:t xml:space="preserve">Wszystkie </w:t>
      </w:r>
      <w:r w:rsidR="00C2311C">
        <w:rPr>
          <w:rFonts w:ascii="Bahnschrift Light" w:hAnsi="Bahnschrift Light"/>
        </w:rPr>
        <w:t>zaangażowane</w:t>
      </w:r>
      <w:r w:rsidRPr="004B6B00">
        <w:rPr>
          <w:rFonts w:ascii="Bahnschrift Light" w:hAnsi="Bahnschrift Light"/>
        </w:rPr>
        <w:t xml:space="preserve"> strony powinny wspierać równouprawnienie i równowagę płci w zespołach badawczych, organach zarządzających i decyzyjnych, komisjach rekrutacyjnych i ds. awansów oraz grupach doradczych. </w:t>
      </w:r>
      <w:r w:rsidRPr="00261B6D">
        <w:rPr>
          <w:rFonts w:ascii="Bahnschrift Light" w:hAnsi="Bahnschrift Light"/>
        </w:rPr>
        <w:t>Wsparcie to obejmuje integrację aspektu płci w badaniach naukowych, nauczaniu i innowacjach, co przyczynia się do poprawy jakości, doskonałości naukowej oraz zwiększenia społecznego znaczenia wyników badań.</w:t>
      </w:r>
    </w:p>
    <w:p w14:paraId="4E07D092" w14:textId="77777777" w:rsidR="00261B6D" w:rsidRPr="00261B6D" w:rsidRDefault="00261B6D" w:rsidP="00261B6D">
      <w:pPr>
        <w:pStyle w:val="Default"/>
        <w:jc w:val="both"/>
        <w:rPr>
          <w:rFonts w:ascii="Bahnschrift Light" w:hAnsi="Bahnschrift Light"/>
        </w:rPr>
      </w:pPr>
    </w:p>
    <w:p w14:paraId="4460B635" w14:textId="6AB6E9A6" w:rsidR="00C2311C" w:rsidRPr="00C2311C" w:rsidRDefault="00261B6D" w:rsidP="00C2311C">
      <w:pPr>
        <w:pStyle w:val="Default"/>
        <w:jc w:val="both"/>
        <w:rPr>
          <w:rFonts w:ascii="Bahnschrift Light" w:hAnsi="Bahnschrift Light"/>
        </w:rPr>
      </w:pPr>
      <w:r w:rsidRPr="00261B6D">
        <w:rPr>
          <w:rFonts w:ascii="Bahnschrift Light" w:hAnsi="Bahnschrift Light"/>
        </w:rPr>
        <w:t>Równouprawnienie płci ma na celu</w:t>
      </w:r>
      <w:r w:rsidR="00C2311C">
        <w:rPr>
          <w:rFonts w:ascii="Bahnschrift Light" w:hAnsi="Bahnschrift Light"/>
        </w:rPr>
        <w:t xml:space="preserve"> wspieranie procesu</w:t>
      </w:r>
      <w:r w:rsidRPr="00261B6D">
        <w:rPr>
          <w:rFonts w:ascii="Bahnschrift Light" w:hAnsi="Bahnschrift Light"/>
        </w:rPr>
        <w:t xml:space="preserve"> elimin</w:t>
      </w:r>
      <w:r w:rsidR="00C2311C">
        <w:rPr>
          <w:rFonts w:ascii="Bahnschrift Light" w:hAnsi="Bahnschrift Light"/>
        </w:rPr>
        <w:t>acji</w:t>
      </w:r>
      <w:r w:rsidRPr="00261B6D">
        <w:rPr>
          <w:rFonts w:ascii="Bahnschrift Light" w:hAnsi="Bahnschrift Light"/>
        </w:rPr>
        <w:t xml:space="preserve"> wszelkich form przemocy ze względu na płeć, w tym molestowania seksualnego. </w:t>
      </w:r>
      <w:r w:rsidR="00C2311C" w:rsidRPr="00C2311C">
        <w:rPr>
          <w:rFonts w:ascii="Bahnschrift Light" w:hAnsi="Bahnschrift Light"/>
        </w:rPr>
        <w:t xml:space="preserve">Równouprawnienie płci powinno być postrzegane </w:t>
      </w:r>
      <w:r w:rsidR="00C2311C">
        <w:rPr>
          <w:rFonts w:ascii="Bahnschrift Light" w:hAnsi="Bahnschrift Light"/>
        </w:rPr>
        <w:t xml:space="preserve">z perspektywy </w:t>
      </w:r>
      <w:proofErr w:type="spellStart"/>
      <w:r w:rsidR="00C2311C">
        <w:rPr>
          <w:rFonts w:ascii="Bahnschrift Light" w:hAnsi="Bahnschrift Light"/>
        </w:rPr>
        <w:t>intersekcjonalnej</w:t>
      </w:r>
      <w:proofErr w:type="spellEnd"/>
      <w:r w:rsidR="00C2311C">
        <w:rPr>
          <w:rFonts w:ascii="Bahnschrift Light" w:hAnsi="Bahnschrift Light"/>
        </w:rPr>
        <w:t>,</w:t>
      </w:r>
      <w:r w:rsidR="00C2311C" w:rsidRPr="00C2311C">
        <w:rPr>
          <w:rFonts w:ascii="Bahnschrift Light" w:hAnsi="Bahnschrift Light"/>
        </w:rPr>
        <w:t xml:space="preserve"> uwzględniając</w:t>
      </w:r>
      <w:r w:rsidR="00C2311C">
        <w:rPr>
          <w:rFonts w:ascii="Bahnschrift Light" w:hAnsi="Bahnschrift Light"/>
        </w:rPr>
        <w:t>ej</w:t>
      </w:r>
      <w:r w:rsidR="00C2311C" w:rsidRPr="00C2311C">
        <w:rPr>
          <w:rFonts w:ascii="Bahnschrift Light" w:hAnsi="Bahnschrift Light"/>
        </w:rPr>
        <w:t xml:space="preserve"> różnorodne czynniki, takie jak płeć, przynależność społeczną czy tożsamość, które wzajemnie na siebie wpływają i tworzą złożone układy zależności. Oznacza to, że różne formy nierówności mogą się nakładać i wzmacniać, co wymaga całościowego podejścia do ich eliminowania.</w:t>
      </w:r>
    </w:p>
    <w:p w14:paraId="175B68D4" w14:textId="1D2F5D86" w:rsidR="00261B6D" w:rsidRPr="00261B6D" w:rsidRDefault="00C2311C" w:rsidP="00261B6D">
      <w:pPr>
        <w:pStyle w:val="Default"/>
        <w:jc w:val="both"/>
        <w:rPr>
          <w:rFonts w:ascii="Bahnschrift Light" w:hAnsi="Bahnschrift Light"/>
        </w:rPr>
      </w:pPr>
      <w:r>
        <w:rPr>
          <w:rFonts w:ascii="Bahnschrift Light" w:hAnsi="Bahnschrift Light"/>
        </w:rPr>
        <w:t xml:space="preserve">Właściwymi </w:t>
      </w:r>
      <w:r w:rsidRPr="004B6B00">
        <w:rPr>
          <w:rFonts w:ascii="Bahnschrift Light" w:hAnsi="Bahnschrift Light"/>
        </w:rPr>
        <w:t>mechanizmami promowania równouprawnienia płci</w:t>
      </w:r>
      <w:r w:rsidRPr="00261B6D">
        <w:rPr>
          <w:rFonts w:ascii="Bahnschrift Light" w:hAnsi="Bahnschrift Light"/>
        </w:rPr>
        <w:t xml:space="preserve"> </w:t>
      </w:r>
      <w:r>
        <w:rPr>
          <w:rFonts w:ascii="Bahnschrift Light" w:hAnsi="Bahnschrift Light"/>
        </w:rPr>
        <w:t>są t</w:t>
      </w:r>
      <w:r w:rsidR="00261B6D" w:rsidRPr="00261B6D">
        <w:rPr>
          <w:rFonts w:ascii="Bahnschrift Light" w:hAnsi="Bahnschrift Light"/>
        </w:rPr>
        <w:t xml:space="preserve">rwałe </w:t>
      </w:r>
      <w:r w:rsidRPr="004B6B00">
        <w:rPr>
          <w:rFonts w:ascii="Bahnschrift Light" w:hAnsi="Bahnschrift Light"/>
        </w:rPr>
        <w:t>zmiany instytucjonalne, ukierunkowane za pośrednictwem planów dotyczących równowagi płci lub podobnych, które umożliwiają właściwe zgłaszanie naruszeń i obejmują systemy monitorowania oraz oceny</w:t>
      </w:r>
      <w:r>
        <w:rPr>
          <w:rFonts w:ascii="Bahnschrift Light" w:hAnsi="Bahnschrift Light"/>
        </w:rPr>
        <w:t>.</w:t>
      </w:r>
    </w:p>
    <w:p w14:paraId="0A90B609" w14:textId="01AEF067" w:rsidR="00261B6D" w:rsidRDefault="00261B6D" w:rsidP="00261B6D">
      <w:pPr>
        <w:pStyle w:val="Default"/>
        <w:jc w:val="both"/>
        <w:rPr>
          <w:rFonts w:ascii="Bahnschrift Light" w:hAnsi="Bahnschrift Light"/>
        </w:rPr>
      </w:pPr>
      <w:r w:rsidRPr="00261B6D">
        <w:rPr>
          <w:rFonts w:ascii="Bahnschrift Light" w:hAnsi="Bahnschrift Light"/>
        </w:rPr>
        <w:t>Kluczowym aspektem transformacji kultury organizacyjnej na rzecz równouprawnienia płci jest równowaga między życiem zawodowym a prywatnym. Wsparcie to powinno być dostępne zarówno dla kobiet, jak i mężczyzn, umożliwiając rozwój kariery zawodowej w harmonii z obowiązkami osobistymi, w tym opiekuńczymi, które mogą być realizowane poza miejscem pracy.</w:t>
      </w:r>
    </w:p>
    <w:p w14:paraId="55AEAE30" w14:textId="77777777" w:rsidR="00C6563B" w:rsidRPr="004B6B00" w:rsidRDefault="00C6563B" w:rsidP="006710C8">
      <w:pPr>
        <w:pStyle w:val="Default"/>
        <w:jc w:val="both"/>
        <w:rPr>
          <w:rFonts w:ascii="Bahnschrift Light" w:hAnsi="Bahnschrift Light"/>
        </w:rPr>
      </w:pPr>
    </w:p>
    <w:p w14:paraId="443DFB94" w14:textId="184112C5" w:rsidR="006F44A2" w:rsidRDefault="004B6B00" w:rsidP="006C0A84">
      <w:pPr>
        <w:pStyle w:val="Nagwek2"/>
      </w:pPr>
      <w:bookmarkStart w:id="17" w:name="_Toc189226047"/>
      <w:r>
        <w:t>6</w:t>
      </w:r>
      <w:r w:rsidR="006F44A2" w:rsidRPr="004B6B00">
        <w:t>. Uwzględnianie różnorodności</w:t>
      </w:r>
      <w:bookmarkEnd w:id="17"/>
      <w:r w:rsidR="006F44A2" w:rsidRPr="004B6B00">
        <w:t xml:space="preserve"> </w:t>
      </w:r>
    </w:p>
    <w:p w14:paraId="1379D4BA" w14:textId="77777777" w:rsidR="0096725D" w:rsidRPr="0096725D" w:rsidRDefault="0096725D" w:rsidP="0096725D"/>
    <w:p w14:paraId="1F17F3B9" w14:textId="60237FD5" w:rsidR="004803FE" w:rsidRDefault="004C02F7" w:rsidP="006710C8">
      <w:pPr>
        <w:pStyle w:val="Default"/>
        <w:jc w:val="both"/>
        <w:rPr>
          <w:rFonts w:ascii="Bahnschrift Light" w:hAnsi="Bahnschrift Light"/>
        </w:rPr>
      </w:pPr>
      <w:r w:rsidRPr="004C02F7">
        <w:rPr>
          <w:rFonts w:ascii="Bahnschrift Light" w:hAnsi="Bahnschrift Light"/>
        </w:rPr>
        <w:t xml:space="preserve">Uwzględnianie różnorodności jest kluczową zasadą europejskiej przestrzeni badawczej. Oznacza to promowanie równości i przeciwdziałanie dyskryminacji ze względu na płeć, rasę, pochodzenie etniczne, religię, przekonania, status społeczny, niepełnosprawność, wiek czy orientację seksualną. Pracodawcy i </w:t>
      </w:r>
      <w:proofErr w:type="spellStart"/>
      <w:r w:rsidRPr="004C02F7">
        <w:rPr>
          <w:rFonts w:ascii="Bahnschrift Light" w:hAnsi="Bahnschrift Light"/>
        </w:rPr>
        <w:t>grantodawcy</w:t>
      </w:r>
      <w:proofErr w:type="spellEnd"/>
      <w:r w:rsidRPr="004C02F7">
        <w:rPr>
          <w:rFonts w:ascii="Bahnschrift Light" w:hAnsi="Bahnschrift Light"/>
        </w:rPr>
        <w:t xml:space="preserve"> powinni </w:t>
      </w:r>
      <w:r>
        <w:rPr>
          <w:rFonts w:ascii="Bahnschrift Light" w:hAnsi="Bahnschrift Light"/>
        </w:rPr>
        <w:t>uwzględniać</w:t>
      </w:r>
      <w:r w:rsidRPr="004C02F7">
        <w:rPr>
          <w:rFonts w:ascii="Bahnschrift Light" w:hAnsi="Bahnschrift Light"/>
        </w:rPr>
        <w:t xml:space="preserve"> różnorodność wśród naukowców, ponieważ ich odmienne doświadczenia życiowe wzbogacają perspektywę badawczą i podnoszą jakość projektów. Różnorodność uczestników ma również bezpośredni wpływ na rezultaty badań, które mogą lepiej odpowiadać potrzebom </w:t>
      </w:r>
      <w:r w:rsidRPr="004C02F7">
        <w:rPr>
          <w:rFonts w:ascii="Bahnschrift Light" w:hAnsi="Bahnschrift Light"/>
        </w:rPr>
        <w:lastRenderedPageBreak/>
        <w:t xml:space="preserve">zróżnicowanych społeczeństw. </w:t>
      </w:r>
      <w:r w:rsidR="004803FE" w:rsidRPr="004B6B00">
        <w:rPr>
          <w:rFonts w:ascii="Bahnschrift Light" w:hAnsi="Bahnschrift Light"/>
        </w:rPr>
        <w:t xml:space="preserve">Potrzebne jest również uznanie nieświadomych uprzedzeń, </w:t>
      </w:r>
      <w:r w:rsidR="00430BE8">
        <w:rPr>
          <w:rFonts w:ascii="Bahnschrift Light" w:hAnsi="Bahnschrift Light"/>
        </w:rPr>
        <w:t>zwłaszcza</w:t>
      </w:r>
      <w:r w:rsidR="004803FE" w:rsidRPr="004B6B00">
        <w:rPr>
          <w:rFonts w:ascii="Bahnschrift Light" w:hAnsi="Bahnschrift Light"/>
        </w:rPr>
        <w:t xml:space="preserve"> </w:t>
      </w:r>
      <w:r w:rsidR="00430BE8" w:rsidRPr="004C02F7">
        <w:rPr>
          <w:rFonts w:ascii="Bahnschrift Light" w:hAnsi="Bahnschrift Light"/>
        </w:rPr>
        <w:t>w procesach rekrutacji</w:t>
      </w:r>
      <w:r w:rsidR="004803FE" w:rsidRPr="004B6B00">
        <w:rPr>
          <w:rFonts w:ascii="Bahnschrift Light" w:hAnsi="Bahnschrift Light"/>
        </w:rPr>
        <w:t xml:space="preserve">, przyznawaniu awansów i ocenie </w:t>
      </w:r>
      <w:r w:rsidR="00430BE8">
        <w:rPr>
          <w:rFonts w:ascii="Bahnschrift Light" w:hAnsi="Bahnschrift Light"/>
        </w:rPr>
        <w:t>pracy</w:t>
      </w:r>
      <w:r w:rsidR="004803FE" w:rsidRPr="004B6B00">
        <w:rPr>
          <w:rFonts w:ascii="Bahnschrift Light" w:hAnsi="Bahnschrift Light"/>
        </w:rPr>
        <w:t>, oraz kompensowanie ich tam, gdzie to możliwe, szczególnie w dziedzinie nauki.</w:t>
      </w:r>
    </w:p>
    <w:p w14:paraId="7D91E4F0" w14:textId="55904F49" w:rsidR="00C6563B" w:rsidRDefault="00C6563B" w:rsidP="006710C8">
      <w:pPr>
        <w:pStyle w:val="Default"/>
        <w:jc w:val="both"/>
        <w:rPr>
          <w:rFonts w:ascii="Bahnschrift Light" w:hAnsi="Bahnschrift Light"/>
        </w:rPr>
      </w:pPr>
    </w:p>
    <w:p w14:paraId="1C3E74BF" w14:textId="77777777" w:rsidR="004B6B00" w:rsidRPr="004B6B00" w:rsidRDefault="004B6B00" w:rsidP="006710C8">
      <w:pPr>
        <w:pStyle w:val="Default"/>
        <w:jc w:val="both"/>
        <w:rPr>
          <w:rFonts w:ascii="Bahnschrift Light" w:hAnsi="Bahnschrift Light"/>
        </w:rPr>
      </w:pPr>
    </w:p>
    <w:p w14:paraId="18E948F7" w14:textId="43E2B026" w:rsidR="006F44A2" w:rsidRDefault="004B6B00" w:rsidP="006C0A84">
      <w:pPr>
        <w:pStyle w:val="Nagwek2"/>
      </w:pPr>
      <w:bookmarkStart w:id="18" w:name="_Toc189226048"/>
      <w:r>
        <w:t>7</w:t>
      </w:r>
      <w:r w:rsidR="006F44A2" w:rsidRPr="004B6B00">
        <w:t>. Naukowiec</w:t>
      </w:r>
      <w:bookmarkEnd w:id="18"/>
      <w:r w:rsidR="006F44A2" w:rsidRPr="004B6B00">
        <w:t xml:space="preserve"> </w:t>
      </w:r>
    </w:p>
    <w:p w14:paraId="6A8C6DB4" w14:textId="77777777" w:rsidR="0096725D" w:rsidRPr="0096725D" w:rsidRDefault="0096725D" w:rsidP="0096725D"/>
    <w:p w14:paraId="543F613F" w14:textId="47DF6C1D" w:rsidR="00430BE8" w:rsidRDefault="004803FE" w:rsidP="006710C8">
      <w:pPr>
        <w:pStyle w:val="Default"/>
        <w:jc w:val="both"/>
        <w:rPr>
          <w:rFonts w:ascii="Bahnschrift Light" w:hAnsi="Bahnschrift Light"/>
        </w:rPr>
      </w:pPr>
      <w:r w:rsidRPr="004B6B00">
        <w:rPr>
          <w:rFonts w:ascii="Bahnschrift Light" w:hAnsi="Bahnschrift Light"/>
        </w:rPr>
        <w:t>Wszyscy naukowcy</w:t>
      </w:r>
      <w:r w:rsidR="00430BE8">
        <w:rPr>
          <w:rFonts w:ascii="Bahnschrift Light" w:hAnsi="Bahnschrift Light"/>
        </w:rPr>
        <w:t xml:space="preserve"> powinni</w:t>
      </w:r>
      <w:r w:rsidRPr="004B6B00">
        <w:rPr>
          <w:rFonts w:ascii="Bahnschrift Light" w:hAnsi="Bahnschrift Light"/>
        </w:rPr>
        <w:t xml:space="preserve"> </w:t>
      </w:r>
      <w:r w:rsidR="00430BE8" w:rsidRPr="004B6B00">
        <w:rPr>
          <w:rFonts w:ascii="Bahnschrift Light" w:hAnsi="Bahnschrift Light"/>
        </w:rPr>
        <w:t>angaż</w:t>
      </w:r>
      <w:r w:rsidR="00430BE8">
        <w:rPr>
          <w:rFonts w:ascii="Bahnschrift Light" w:hAnsi="Bahnschrift Light"/>
        </w:rPr>
        <w:t>ować</w:t>
      </w:r>
      <w:r w:rsidR="00430BE8" w:rsidRPr="004B6B00">
        <w:rPr>
          <w:rFonts w:ascii="Bahnschrift Light" w:hAnsi="Bahnschrift Light"/>
        </w:rPr>
        <w:t xml:space="preserve"> </w:t>
      </w:r>
      <w:r w:rsidRPr="004B6B00">
        <w:rPr>
          <w:rFonts w:ascii="Bahnschrift Light" w:hAnsi="Bahnschrift Light"/>
        </w:rPr>
        <w:t xml:space="preserve">się w opracowywanie lub tworzenie nowej wiedzy naukowej opartej na oryginalnych koncepcjach </w:t>
      </w:r>
      <w:r w:rsidR="00430BE8">
        <w:rPr>
          <w:rFonts w:ascii="Bahnschrift Light" w:hAnsi="Bahnschrift Light"/>
        </w:rPr>
        <w:t>i</w:t>
      </w:r>
      <w:r w:rsidR="00430BE8" w:rsidRPr="004B6B00">
        <w:rPr>
          <w:rFonts w:ascii="Bahnschrift Light" w:hAnsi="Bahnschrift Light"/>
        </w:rPr>
        <w:t xml:space="preserve"> </w:t>
      </w:r>
      <w:r w:rsidRPr="004B6B00">
        <w:rPr>
          <w:rFonts w:ascii="Bahnschrift Light" w:hAnsi="Bahnschrift Light"/>
        </w:rPr>
        <w:t>hipotezach</w:t>
      </w:r>
      <w:r w:rsidR="00430BE8">
        <w:rPr>
          <w:rFonts w:ascii="Bahnschrift Light" w:hAnsi="Bahnschrift Light"/>
        </w:rPr>
        <w:t>, a ich</w:t>
      </w:r>
      <w:r w:rsidRPr="004B6B00">
        <w:rPr>
          <w:rFonts w:ascii="Bahnschrift Light" w:hAnsi="Bahnschrift Light"/>
        </w:rPr>
        <w:t xml:space="preserve"> praca powinna być ceniona, niezależnie od sektora</w:t>
      </w:r>
      <w:r w:rsidR="00430BE8">
        <w:rPr>
          <w:rFonts w:ascii="Bahnschrift Light" w:hAnsi="Bahnschrift Light"/>
        </w:rPr>
        <w:t>, w którym działają</w:t>
      </w:r>
      <w:r w:rsidRPr="004B6B00">
        <w:rPr>
          <w:rFonts w:ascii="Bahnschrift Light" w:hAnsi="Bahnschrift Light"/>
        </w:rPr>
        <w:t>.</w:t>
      </w:r>
    </w:p>
    <w:p w14:paraId="13B158CF" w14:textId="77777777" w:rsidR="00430BE8" w:rsidRDefault="00430BE8" w:rsidP="006710C8">
      <w:pPr>
        <w:pStyle w:val="Default"/>
        <w:jc w:val="both"/>
        <w:rPr>
          <w:rFonts w:ascii="Bahnschrift Light" w:hAnsi="Bahnschrift Light"/>
        </w:rPr>
      </w:pPr>
    </w:p>
    <w:p w14:paraId="204ECAAC" w14:textId="77777777" w:rsidR="00430BE8" w:rsidRPr="00430BE8" w:rsidRDefault="004803FE" w:rsidP="00430BE8">
      <w:pPr>
        <w:pStyle w:val="Default"/>
        <w:jc w:val="both"/>
        <w:rPr>
          <w:rFonts w:ascii="Bahnschrift Light" w:hAnsi="Bahnschrift Light"/>
        </w:rPr>
      </w:pPr>
      <w:r w:rsidRPr="004B6B00">
        <w:rPr>
          <w:rFonts w:ascii="Bahnschrift Light" w:hAnsi="Bahnschrift Light"/>
        </w:rPr>
        <w:t xml:space="preserve">Pracodawcy i </w:t>
      </w:r>
      <w:proofErr w:type="spellStart"/>
      <w:r w:rsidRPr="004B6B00">
        <w:rPr>
          <w:rFonts w:ascii="Bahnschrift Light" w:hAnsi="Bahnschrift Light"/>
        </w:rPr>
        <w:t>grantodawcy</w:t>
      </w:r>
      <w:proofErr w:type="spellEnd"/>
      <w:r w:rsidRPr="004B6B00">
        <w:rPr>
          <w:rFonts w:ascii="Bahnschrift Light" w:hAnsi="Bahnschrift Light"/>
        </w:rPr>
        <w:t xml:space="preserve"> powinni promować i wspierać nielinearne i wielopoziomowe ścieżki kariery, rozumiane jako ścieżki, które charakteryzują się mobilnością geograficzną, dyscyplinarną, międzysektorową i międzyorganizacyjną, np. </w:t>
      </w:r>
      <w:proofErr w:type="spellStart"/>
      <w:r w:rsidRPr="004B6B00">
        <w:rPr>
          <w:rFonts w:ascii="Bahnschrift Light" w:hAnsi="Bahnschrift Light"/>
        </w:rPr>
        <w:t>oddelegowaniami</w:t>
      </w:r>
      <w:proofErr w:type="spellEnd"/>
      <w:r w:rsidRPr="004B6B00">
        <w:rPr>
          <w:rFonts w:ascii="Bahnschrift Light" w:hAnsi="Bahnschrift Light"/>
        </w:rPr>
        <w:t>. Powinni również zachęcać do tworzenia ścieżek hybrydowych, łączących jednocześnie różne sektory, które to ścieżki należy traktować na równi z linearnymi ścieżkami kariery.</w:t>
      </w:r>
      <w:r w:rsidR="00430BE8">
        <w:rPr>
          <w:rFonts w:ascii="Bahnschrift Light" w:hAnsi="Bahnschrift Light"/>
        </w:rPr>
        <w:t xml:space="preserve"> </w:t>
      </w:r>
      <w:r w:rsidR="00430BE8" w:rsidRPr="00430BE8">
        <w:rPr>
          <w:rFonts w:ascii="Bahnschrift Light" w:hAnsi="Bahnschrift Light"/>
        </w:rPr>
        <w:t>Ważne jest, aby od początku kariery naukowej, już na poziomie szkół doktorskich, promowane były różnorodne ścieżki kariery. Należy wspierać mobilność geograficzną, dyscyplinarną i międzysektorową, a także tworzenie ścieżek kariery łączących różne sektory, traktowanych na równi z tradycyjnymi, liniowymi ścieżkami.</w:t>
      </w:r>
    </w:p>
    <w:p w14:paraId="5DF2D6B3" w14:textId="2CB113BB" w:rsidR="004803FE" w:rsidRPr="004B6B00" w:rsidRDefault="004803FE" w:rsidP="006710C8">
      <w:pPr>
        <w:pStyle w:val="Default"/>
        <w:jc w:val="both"/>
        <w:rPr>
          <w:rFonts w:ascii="Bahnschrift Light" w:hAnsi="Bahnschrift Light"/>
        </w:rPr>
      </w:pPr>
    </w:p>
    <w:p w14:paraId="1585E390" w14:textId="61437D35" w:rsidR="004803FE" w:rsidRDefault="004803FE" w:rsidP="006710C8">
      <w:pPr>
        <w:pStyle w:val="Default"/>
        <w:jc w:val="both"/>
        <w:rPr>
          <w:rFonts w:ascii="Bahnschrift Light" w:hAnsi="Bahnschrift Light"/>
        </w:rPr>
      </w:pPr>
      <w:r w:rsidRPr="004B6B00">
        <w:rPr>
          <w:rFonts w:ascii="Bahnschrift Light" w:hAnsi="Bahnschrift Light"/>
        </w:rPr>
        <w:t>Profesjonal</w:t>
      </w:r>
      <w:r w:rsidR="00430BE8">
        <w:rPr>
          <w:rFonts w:ascii="Bahnschrift Light" w:hAnsi="Bahnschrift Light"/>
        </w:rPr>
        <w:t>izm</w:t>
      </w:r>
    </w:p>
    <w:p w14:paraId="4E1E0CA9" w14:textId="77777777" w:rsidR="00430BE8" w:rsidRPr="00430BE8" w:rsidRDefault="00430BE8" w:rsidP="00430BE8">
      <w:pPr>
        <w:pStyle w:val="Default"/>
        <w:jc w:val="both"/>
        <w:rPr>
          <w:rFonts w:ascii="Bahnschrift Light" w:hAnsi="Bahnschrift Light"/>
        </w:rPr>
      </w:pPr>
      <w:r w:rsidRPr="00430BE8">
        <w:rPr>
          <w:rFonts w:ascii="Bahnschrift Light" w:hAnsi="Bahnschrift Light"/>
        </w:rPr>
        <w:t xml:space="preserve">Profesjonalne podejście naukowców powinno obejmować znajomość celów strategii naukowej oraz mechanizmów finansowania badań. Naukowcy powinni starać się, aby ich badania były istotne dla społeczeństwa, unikając powielania wcześniejszych badań i dbając o ich skuteczną waloryzację. Komunikacja między naukowcami a pracodawcami czy </w:t>
      </w:r>
      <w:proofErr w:type="spellStart"/>
      <w:r w:rsidRPr="00430BE8">
        <w:rPr>
          <w:rFonts w:ascii="Bahnschrift Light" w:hAnsi="Bahnschrift Light"/>
        </w:rPr>
        <w:t>grantodawcami</w:t>
      </w:r>
      <w:proofErr w:type="spellEnd"/>
      <w:r w:rsidRPr="00430BE8">
        <w:rPr>
          <w:rFonts w:ascii="Bahnschrift Light" w:hAnsi="Bahnschrift Light"/>
        </w:rPr>
        <w:t xml:space="preserve"> powinna być jasna, szczególnie w przypadku opóźnień, zmian lub zakończenia projektów badawczych.</w:t>
      </w:r>
    </w:p>
    <w:p w14:paraId="0DDF6478" w14:textId="77777777" w:rsidR="00430BE8" w:rsidRPr="004B6B00" w:rsidRDefault="00430BE8" w:rsidP="006710C8">
      <w:pPr>
        <w:pStyle w:val="Default"/>
        <w:jc w:val="both"/>
        <w:rPr>
          <w:rFonts w:ascii="Bahnschrift Light" w:hAnsi="Bahnschrift Light"/>
        </w:rPr>
      </w:pPr>
    </w:p>
    <w:p w14:paraId="2B7CDEEC" w14:textId="4075DBA2" w:rsidR="004803FE" w:rsidRPr="004B6B00" w:rsidRDefault="004803FE" w:rsidP="006710C8">
      <w:pPr>
        <w:pStyle w:val="Default"/>
        <w:jc w:val="both"/>
        <w:rPr>
          <w:rFonts w:ascii="Bahnschrift Light" w:hAnsi="Bahnschrift Light"/>
        </w:rPr>
      </w:pPr>
      <w:r w:rsidRPr="004B6B00">
        <w:rPr>
          <w:rFonts w:ascii="Bahnschrift Light" w:hAnsi="Bahnschrift Light"/>
        </w:rPr>
        <w:t xml:space="preserve">Odpowiedzialność </w:t>
      </w:r>
    </w:p>
    <w:p w14:paraId="45D69EB5" w14:textId="4BDF4C16" w:rsidR="00430BE8" w:rsidRPr="004B6B00" w:rsidRDefault="00430BE8" w:rsidP="006710C8">
      <w:pPr>
        <w:pStyle w:val="Default"/>
        <w:jc w:val="both"/>
        <w:rPr>
          <w:rFonts w:ascii="Bahnschrift Light" w:hAnsi="Bahnschrift Light"/>
        </w:rPr>
      </w:pPr>
      <w:r w:rsidRPr="00430BE8">
        <w:rPr>
          <w:rFonts w:ascii="Bahnschrift Light" w:hAnsi="Bahnschrift Light"/>
        </w:rPr>
        <w:t xml:space="preserve">Odpowiedzialność naukowców to świadomość odpowiedzialności nie tylko wobec swoich pracodawców i </w:t>
      </w:r>
      <w:proofErr w:type="spellStart"/>
      <w:r w:rsidRPr="00430BE8">
        <w:rPr>
          <w:rFonts w:ascii="Bahnschrift Light" w:hAnsi="Bahnschrift Light"/>
        </w:rPr>
        <w:t>grantodawców</w:t>
      </w:r>
      <w:proofErr w:type="spellEnd"/>
      <w:r w:rsidRPr="00430BE8">
        <w:rPr>
          <w:rFonts w:ascii="Bahnschrift Light" w:hAnsi="Bahnschrift Light"/>
        </w:rPr>
        <w:t xml:space="preserve">, ale również wobec społeczeństwa. Badania finansowane z funduszy państwowych wymagają efektywnego zarządzania środkami publicznymi. Naukowcy powinni przestrzegać zasad przejrzystego i efektywnego zarządzania finansami oraz współpracować w trakcie audytów. </w:t>
      </w:r>
    </w:p>
    <w:p w14:paraId="3013768C" w14:textId="77777777" w:rsidR="004803FE" w:rsidRPr="004B6B00" w:rsidRDefault="004803FE" w:rsidP="006710C8">
      <w:pPr>
        <w:pStyle w:val="Default"/>
        <w:jc w:val="both"/>
        <w:rPr>
          <w:rFonts w:ascii="Bahnschrift Light" w:hAnsi="Bahnschrift Light"/>
        </w:rPr>
      </w:pPr>
    </w:p>
    <w:p w14:paraId="48A0EA4C" w14:textId="5076B40B" w:rsidR="006F44A2" w:rsidRPr="004B6B00" w:rsidRDefault="004B6B00" w:rsidP="006C0A84">
      <w:pPr>
        <w:pStyle w:val="Nagwek2"/>
      </w:pPr>
      <w:bookmarkStart w:id="19" w:name="_Toc189226049"/>
      <w:r>
        <w:t>8</w:t>
      </w:r>
      <w:r w:rsidR="006F44A2" w:rsidRPr="004B6B00">
        <w:t xml:space="preserve">. </w:t>
      </w:r>
      <w:r w:rsidR="00430BE8">
        <w:t>Mobilność</w:t>
      </w:r>
      <w:r w:rsidR="006F44A2" w:rsidRPr="004B6B00">
        <w:t xml:space="preserve"> naukowców</w:t>
      </w:r>
      <w:bookmarkEnd w:id="19"/>
      <w:r w:rsidR="006F44A2" w:rsidRPr="004B6B00">
        <w:t xml:space="preserve"> </w:t>
      </w:r>
    </w:p>
    <w:p w14:paraId="502EF79A" w14:textId="77777777" w:rsidR="00430BE8" w:rsidRDefault="00430BE8" w:rsidP="006710C8">
      <w:pPr>
        <w:pStyle w:val="Default"/>
        <w:jc w:val="both"/>
        <w:rPr>
          <w:rFonts w:ascii="Bahnschrift Light" w:hAnsi="Bahnschrift Light"/>
        </w:rPr>
      </w:pPr>
    </w:p>
    <w:p w14:paraId="382DA6D8" w14:textId="59F4E719" w:rsidR="00430BE8" w:rsidRDefault="00430BE8" w:rsidP="006710C8">
      <w:pPr>
        <w:pStyle w:val="Default"/>
        <w:jc w:val="both"/>
        <w:rPr>
          <w:rFonts w:ascii="Bahnschrift Light" w:hAnsi="Bahnschrift Light"/>
        </w:rPr>
      </w:pPr>
      <w:r w:rsidRPr="00430BE8">
        <w:rPr>
          <w:rFonts w:ascii="Bahnschrift Light" w:hAnsi="Bahnschrift Light"/>
        </w:rPr>
        <w:t xml:space="preserve">Pracodawcy i </w:t>
      </w:r>
      <w:proofErr w:type="spellStart"/>
      <w:r w:rsidRPr="00430BE8">
        <w:rPr>
          <w:rFonts w:ascii="Bahnschrift Light" w:hAnsi="Bahnschrift Light"/>
        </w:rPr>
        <w:t>grantodawcy</w:t>
      </w:r>
      <w:proofErr w:type="spellEnd"/>
      <w:r w:rsidRPr="00430BE8">
        <w:rPr>
          <w:rFonts w:ascii="Bahnschrift Light" w:hAnsi="Bahnschrift Light"/>
        </w:rPr>
        <w:t xml:space="preserve"> powinni wspierać swobodną mobilność naukowców</w:t>
      </w:r>
      <w:r>
        <w:rPr>
          <w:rFonts w:ascii="Bahnschrift Light" w:hAnsi="Bahnschrift Light"/>
        </w:rPr>
        <w:t>,</w:t>
      </w:r>
      <w:r w:rsidRPr="00430BE8">
        <w:rPr>
          <w:rFonts w:ascii="Bahnschrift Light" w:hAnsi="Bahnschrift Light"/>
        </w:rPr>
        <w:t xml:space="preserve"> dbając o przyciąganie talentów i zapobiegając drenażowi talentów. </w:t>
      </w:r>
      <w:r w:rsidR="00300ED8">
        <w:rPr>
          <w:rFonts w:ascii="Bahnschrift Light" w:hAnsi="Bahnschrift Light"/>
        </w:rPr>
        <w:t>Należy</w:t>
      </w:r>
      <w:r w:rsidRPr="00430BE8">
        <w:rPr>
          <w:rFonts w:ascii="Bahnschrift Light" w:hAnsi="Bahnschrift Light"/>
        </w:rPr>
        <w:t xml:space="preserve"> doceniać mobilność w różnych formach: geograficznej, międzyinstytucjonalnej, międzysektorowej, interdyscyplinarnej i </w:t>
      </w:r>
      <w:proofErr w:type="spellStart"/>
      <w:r w:rsidRPr="00430BE8">
        <w:rPr>
          <w:rFonts w:ascii="Bahnschrift Light" w:hAnsi="Bahnschrift Light"/>
        </w:rPr>
        <w:t>transdyscyplinarnej</w:t>
      </w:r>
      <w:proofErr w:type="spellEnd"/>
      <w:r w:rsidRPr="00430BE8">
        <w:rPr>
          <w:rFonts w:ascii="Bahnschrift Light" w:hAnsi="Bahnschrift Light"/>
        </w:rPr>
        <w:t xml:space="preserve">, jako kluczowy sposób poszerzania wiedzy oraz wspierania rozwoju zawodowego na różnych etapach kariery. Ważne jest, aby doświadczenia związane z mobilnością były w pełni uwzględniane w systemach oceny kariery i postępu naukowego. Ponadto, </w:t>
      </w:r>
      <w:r w:rsidR="00300ED8" w:rsidRPr="00430BE8">
        <w:rPr>
          <w:rFonts w:ascii="Bahnschrift Light" w:hAnsi="Bahnschrift Light"/>
        </w:rPr>
        <w:t>ważny atut</w:t>
      </w:r>
      <w:r w:rsidR="00300ED8">
        <w:rPr>
          <w:rFonts w:ascii="Bahnschrift Light" w:hAnsi="Bahnschrift Light"/>
        </w:rPr>
        <w:t xml:space="preserve"> może stanowić</w:t>
      </w:r>
      <w:r w:rsidR="00300ED8" w:rsidRPr="00430BE8">
        <w:rPr>
          <w:rFonts w:ascii="Bahnschrift Light" w:hAnsi="Bahnschrift Light"/>
        </w:rPr>
        <w:t xml:space="preserve"> </w:t>
      </w:r>
      <w:r w:rsidRPr="00430BE8">
        <w:rPr>
          <w:rFonts w:ascii="Bahnschrift Light" w:hAnsi="Bahnschrift Light"/>
        </w:rPr>
        <w:t>mobilność wirtualna któr</w:t>
      </w:r>
      <w:r w:rsidR="00300ED8">
        <w:rPr>
          <w:rFonts w:ascii="Bahnschrift Light" w:hAnsi="Bahnschrift Light"/>
        </w:rPr>
        <w:t>ą</w:t>
      </w:r>
      <w:r w:rsidRPr="00430BE8">
        <w:rPr>
          <w:rFonts w:ascii="Bahnschrift Light" w:hAnsi="Bahnschrift Light"/>
        </w:rPr>
        <w:t xml:space="preserve"> także </w:t>
      </w:r>
      <w:r w:rsidR="00300ED8">
        <w:rPr>
          <w:rFonts w:ascii="Bahnschrift Light" w:hAnsi="Bahnschrift Light"/>
        </w:rPr>
        <w:t>należałoby brać</w:t>
      </w:r>
      <w:r w:rsidRPr="00430BE8">
        <w:rPr>
          <w:rFonts w:ascii="Bahnschrift Light" w:hAnsi="Bahnschrift Light"/>
        </w:rPr>
        <w:t xml:space="preserve"> pod uwagę. Należy wprowadzić odpowiednie narzędzia administracyjne, które umożliwią przenoszenie grantów i ubezpieczenia społecznego zgodnie z przepisami krajowymi.</w:t>
      </w:r>
    </w:p>
    <w:p w14:paraId="4A31B906" w14:textId="77777777" w:rsidR="004803FE" w:rsidRPr="004B6B00" w:rsidRDefault="004803FE" w:rsidP="006710C8">
      <w:pPr>
        <w:pStyle w:val="Default"/>
        <w:jc w:val="both"/>
        <w:rPr>
          <w:rFonts w:ascii="Bahnschrift Light" w:hAnsi="Bahnschrift Light"/>
        </w:rPr>
      </w:pPr>
    </w:p>
    <w:p w14:paraId="604932C9" w14:textId="285992AB" w:rsidR="006F44A2" w:rsidRDefault="004B6B00" w:rsidP="006C0A84">
      <w:pPr>
        <w:pStyle w:val="Nagwek2"/>
      </w:pPr>
      <w:bookmarkStart w:id="20" w:name="_Toc189226050"/>
      <w:r>
        <w:lastRenderedPageBreak/>
        <w:t>9</w:t>
      </w:r>
      <w:r w:rsidR="006F44A2" w:rsidRPr="004B6B00">
        <w:t>. Zrównoważone badania</w:t>
      </w:r>
      <w:bookmarkEnd w:id="20"/>
    </w:p>
    <w:p w14:paraId="0F5C82C4" w14:textId="77777777" w:rsidR="0096725D" w:rsidRPr="0096725D" w:rsidRDefault="0096725D" w:rsidP="0096725D"/>
    <w:p w14:paraId="4C805DA5" w14:textId="071266FE" w:rsidR="006F44A2" w:rsidRDefault="004803FE" w:rsidP="006710C8">
      <w:pPr>
        <w:pStyle w:val="Default"/>
        <w:jc w:val="both"/>
        <w:rPr>
          <w:rFonts w:ascii="Bahnschrift Light" w:hAnsi="Bahnschrift Light"/>
        </w:rPr>
      </w:pPr>
      <w:r w:rsidRPr="004B6B00">
        <w:rPr>
          <w:rFonts w:ascii="Bahnschrift Light" w:hAnsi="Bahnschrift Light"/>
        </w:rPr>
        <w:t xml:space="preserve">Naukowcy, pracodawcy i </w:t>
      </w:r>
      <w:proofErr w:type="spellStart"/>
      <w:r w:rsidRPr="004B6B00">
        <w:rPr>
          <w:rFonts w:ascii="Bahnschrift Light" w:hAnsi="Bahnschrift Light"/>
        </w:rPr>
        <w:t>grantodawcy</w:t>
      </w:r>
      <w:proofErr w:type="spellEnd"/>
      <w:r w:rsidRPr="004B6B00">
        <w:rPr>
          <w:rFonts w:ascii="Bahnschrift Light" w:hAnsi="Bahnschrift Light"/>
        </w:rPr>
        <w:t xml:space="preserve"> powinni </w:t>
      </w:r>
      <w:bookmarkStart w:id="21" w:name="_Hlk182475527"/>
      <w:r w:rsidRPr="004B6B00">
        <w:rPr>
          <w:rFonts w:ascii="Bahnschrift Light" w:hAnsi="Bahnschrift Light"/>
        </w:rPr>
        <w:t xml:space="preserve">propagować zrównoważoną realizację </w:t>
      </w:r>
      <w:r w:rsidR="00300ED8">
        <w:rPr>
          <w:rFonts w:ascii="Bahnschrift Light" w:hAnsi="Bahnschrift Light"/>
        </w:rPr>
        <w:t>badań,</w:t>
      </w:r>
      <w:r w:rsidRPr="004B6B00">
        <w:rPr>
          <w:rFonts w:ascii="Bahnschrift Light" w:hAnsi="Bahnschrift Light"/>
        </w:rPr>
        <w:t xml:space="preserve"> zgodnie z inicjatywami politycznymi, takimi jak Europejski Zielony Ład, Agenda 2030 oraz cele zrównoważonego rozwoju ONZ. </w:t>
      </w:r>
      <w:bookmarkEnd w:id="21"/>
      <w:r w:rsidRPr="004B6B00">
        <w:rPr>
          <w:rFonts w:ascii="Bahnschrift Light" w:hAnsi="Bahnschrift Light"/>
        </w:rPr>
        <w:t xml:space="preserve">Naukowcy powinni być wspierani przez instytucjonalną kulturę zrównoważonego zarządzania badaniami, a także szkolenia i mentoring </w:t>
      </w:r>
      <w:r w:rsidR="00300ED8">
        <w:rPr>
          <w:rFonts w:ascii="Bahnschrift Light" w:hAnsi="Bahnschrift Light"/>
        </w:rPr>
        <w:t xml:space="preserve">oparty na </w:t>
      </w:r>
      <w:r w:rsidR="00300ED8" w:rsidRPr="004B6B00">
        <w:rPr>
          <w:rFonts w:ascii="Bahnschrift Light" w:hAnsi="Bahnschrift Light"/>
        </w:rPr>
        <w:t>wymian</w:t>
      </w:r>
      <w:r w:rsidR="00300ED8">
        <w:rPr>
          <w:rFonts w:ascii="Bahnschrift Light" w:hAnsi="Bahnschrift Light"/>
        </w:rPr>
        <w:t>ie</w:t>
      </w:r>
      <w:r w:rsidR="00300ED8" w:rsidRPr="004B6B00">
        <w:rPr>
          <w:rFonts w:ascii="Bahnschrift Light" w:hAnsi="Bahnschrift Light"/>
        </w:rPr>
        <w:t xml:space="preserve"> </w:t>
      </w:r>
      <w:r w:rsidRPr="004B6B00">
        <w:rPr>
          <w:rFonts w:ascii="Bahnschrift Light" w:hAnsi="Bahnschrift Light"/>
        </w:rPr>
        <w:t xml:space="preserve">najlepszych praktyk. </w:t>
      </w:r>
      <w:r w:rsidR="00300ED8">
        <w:rPr>
          <w:rFonts w:ascii="Bahnschrift Light" w:hAnsi="Bahnschrift Light"/>
        </w:rPr>
        <w:t>Naukowcy powinni</w:t>
      </w:r>
      <w:r w:rsidRPr="004B6B00">
        <w:rPr>
          <w:rFonts w:ascii="Bahnschrift Light" w:hAnsi="Bahnschrift Light"/>
        </w:rPr>
        <w:t xml:space="preserve"> odgrywać wiodącą rolę w ograniczaniu emisji dwutlenku węgla </w:t>
      </w:r>
      <w:r w:rsidR="00300ED8" w:rsidRPr="00300ED8">
        <w:rPr>
          <w:rFonts w:ascii="Bahnschrift Light" w:hAnsi="Bahnschrift Light"/>
        </w:rPr>
        <w:t>dając pozytywny przykład innym członkom społeczności badawczej.</w:t>
      </w:r>
      <w:r w:rsidRPr="004B6B00">
        <w:rPr>
          <w:rFonts w:ascii="Bahnschrift Light" w:hAnsi="Bahnschrift Light"/>
        </w:rPr>
        <w:t xml:space="preserve"> Jako punkt odniesienia można wykorzystać kartę zielonych działań „Maria Skłodowska-Curie” (MSCA) Komisji Europejskiej.</w:t>
      </w:r>
    </w:p>
    <w:p w14:paraId="69FBE7F4" w14:textId="7FFE7A91" w:rsidR="00300ED8" w:rsidRDefault="00300ED8" w:rsidP="006710C8">
      <w:pPr>
        <w:pStyle w:val="Default"/>
        <w:jc w:val="both"/>
        <w:rPr>
          <w:rFonts w:ascii="Bahnschrift Light" w:hAnsi="Bahnschrift Light"/>
        </w:rPr>
      </w:pPr>
    </w:p>
    <w:p w14:paraId="45237F70" w14:textId="2A6D3253" w:rsidR="00696E1E" w:rsidRDefault="00696E1E" w:rsidP="006710C8">
      <w:pPr>
        <w:pStyle w:val="Default"/>
        <w:jc w:val="both"/>
        <w:rPr>
          <w:rFonts w:ascii="Bahnschrift Light" w:hAnsi="Bahnschrift Light"/>
        </w:rPr>
      </w:pPr>
      <w:r>
        <w:rPr>
          <w:rFonts w:ascii="Bahnschrift Light" w:hAnsi="Bahnschrift Light"/>
        </w:rPr>
        <w:t xml:space="preserve">Analiza wyników przeprowadzonej ankiety w zakresie zagadnień </w:t>
      </w:r>
      <w:r w:rsidR="009760C6" w:rsidRPr="004B6B00">
        <w:rPr>
          <w:rFonts w:ascii="Bahnschrift Light" w:hAnsi="Bahnschrift Light"/>
        </w:rPr>
        <w:t>zawartych w I filarze</w:t>
      </w:r>
      <w:r>
        <w:rPr>
          <w:rFonts w:ascii="Bahnschrift Light" w:hAnsi="Bahnschrift Light"/>
        </w:rPr>
        <w:t>:</w:t>
      </w:r>
    </w:p>
    <w:p w14:paraId="38EAFF9A" w14:textId="6D4986B0" w:rsidR="000354A3" w:rsidRPr="004B6B00" w:rsidRDefault="00696E1E" w:rsidP="00895AEE">
      <w:pPr>
        <w:pStyle w:val="Default"/>
        <w:numPr>
          <w:ilvl w:val="0"/>
          <w:numId w:val="20"/>
        </w:numPr>
        <w:jc w:val="both"/>
        <w:rPr>
          <w:rFonts w:ascii="Bahnschrift Light" w:hAnsi="Bahnschrift Light"/>
          <w:color w:val="202124"/>
          <w:spacing w:val="3"/>
          <w:shd w:val="clear" w:color="auto" w:fill="FFFFFF"/>
        </w:rPr>
      </w:pPr>
      <w:r>
        <w:rPr>
          <w:rFonts w:ascii="Bahnschrift Light" w:hAnsi="Bahnschrift Light"/>
        </w:rPr>
        <w:t xml:space="preserve">tylko </w:t>
      </w:r>
      <w:r w:rsidR="00212CB4" w:rsidRPr="004B6B00">
        <w:rPr>
          <w:rFonts w:ascii="Bahnschrift Light" w:hAnsi="Bahnschrift Light"/>
        </w:rPr>
        <w:t xml:space="preserve">8.4% naukowców </w:t>
      </w:r>
      <w:r w:rsidR="009760C6" w:rsidRPr="004B6B00">
        <w:rPr>
          <w:rFonts w:ascii="Bahnschrift Light" w:hAnsi="Bahnschrift Light"/>
        </w:rPr>
        <w:t>spotkał</w:t>
      </w:r>
      <w:r w:rsidR="00212CB4" w:rsidRPr="004B6B00">
        <w:rPr>
          <w:rFonts w:ascii="Bahnschrift Light" w:hAnsi="Bahnschrift Light"/>
        </w:rPr>
        <w:t>o</w:t>
      </w:r>
      <w:r w:rsidR="009760C6" w:rsidRPr="004B6B00">
        <w:rPr>
          <w:rFonts w:ascii="Bahnschrift Light" w:hAnsi="Bahnschrift Light"/>
        </w:rPr>
        <w:t xml:space="preserve"> się</w:t>
      </w:r>
      <w:r w:rsidR="009760C6" w:rsidRPr="004B6B00">
        <w:rPr>
          <w:rFonts w:ascii="Bahnschrift Light" w:hAnsi="Bahnschrift Light"/>
          <w:color w:val="202124"/>
          <w:spacing w:val="3"/>
          <w:shd w:val="clear" w:color="auto" w:fill="FFFFFF"/>
        </w:rPr>
        <w:t xml:space="preserve"> z inicjatywą badań prowadzonych w ramach nauki obywatelskiej.  Należy podjąć działania uświadamiające czym jest nauka obywatelska poprzez szkolenia i spotkania informacyjne. </w:t>
      </w:r>
    </w:p>
    <w:p w14:paraId="49D39C39" w14:textId="428AD1A2" w:rsidR="00DC2E56" w:rsidRPr="004B6B00" w:rsidRDefault="009760C6" w:rsidP="00895AEE">
      <w:pPr>
        <w:pStyle w:val="Default"/>
        <w:numPr>
          <w:ilvl w:val="0"/>
          <w:numId w:val="20"/>
        </w:numPr>
        <w:jc w:val="both"/>
        <w:rPr>
          <w:rFonts w:ascii="Bahnschrift Light" w:hAnsi="Bahnschrift Light"/>
          <w:color w:val="202124"/>
          <w:spacing w:val="3"/>
          <w:shd w:val="clear" w:color="auto" w:fill="FFFFFF"/>
        </w:rPr>
      </w:pPr>
      <w:r w:rsidRPr="004B6B00">
        <w:rPr>
          <w:rFonts w:ascii="Bahnschrift Light" w:hAnsi="Bahnschrift Light"/>
          <w:color w:val="202124"/>
          <w:spacing w:val="3"/>
          <w:shd w:val="clear" w:color="auto" w:fill="FFFFFF"/>
        </w:rPr>
        <w:t>26</w:t>
      </w:r>
      <w:r w:rsidR="00212CB4" w:rsidRPr="004B6B00">
        <w:rPr>
          <w:rFonts w:ascii="Bahnschrift Light" w:hAnsi="Bahnschrift Light"/>
          <w:color w:val="202124"/>
          <w:spacing w:val="3"/>
          <w:shd w:val="clear" w:color="auto" w:fill="FFFFFF"/>
        </w:rPr>
        <w:t>.</w:t>
      </w:r>
      <w:r w:rsidRPr="004B6B00">
        <w:rPr>
          <w:rFonts w:ascii="Bahnschrift Light" w:hAnsi="Bahnschrift Light"/>
          <w:color w:val="202124"/>
          <w:spacing w:val="3"/>
          <w:shd w:val="clear" w:color="auto" w:fill="FFFFFF"/>
        </w:rPr>
        <w:t>3 % naukowców nie zna zapisów planu równości płci</w:t>
      </w:r>
      <w:r w:rsidR="00EA268A" w:rsidRPr="004B6B00">
        <w:rPr>
          <w:rFonts w:ascii="Bahnschrift Light" w:hAnsi="Bahnschrift Light"/>
          <w:color w:val="202124"/>
          <w:spacing w:val="3"/>
          <w:shd w:val="clear" w:color="auto" w:fill="FFFFFF"/>
        </w:rPr>
        <w:t>,</w:t>
      </w:r>
      <w:r w:rsidRPr="004B6B00">
        <w:rPr>
          <w:rFonts w:ascii="Bahnschrift Light" w:hAnsi="Bahnschrift Light"/>
          <w:color w:val="202124"/>
          <w:spacing w:val="3"/>
          <w:shd w:val="clear" w:color="auto" w:fill="FFFFFF"/>
        </w:rPr>
        <w:t xml:space="preserve"> który był o</w:t>
      </w:r>
      <w:r w:rsidR="00DC2E56" w:rsidRPr="004B6B00">
        <w:rPr>
          <w:rFonts w:ascii="Bahnschrift Light" w:hAnsi="Bahnschrift Light"/>
          <w:color w:val="202124"/>
          <w:spacing w:val="3"/>
          <w:shd w:val="clear" w:color="auto" w:fill="FFFFFF"/>
        </w:rPr>
        <w:t>g</w:t>
      </w:r>
      <w:r w:rsidRPr="004B6B00">
        <w:rPr>
          <w:rFonts w:ascii="Bahnschrift Light" w:hAnsi="Bahnschrift Light"/>
          <w:color w:val="202124"/>
          <w:spacing w:val="3"/>
          <w:shd w:val="clear" w:color="auto" w:fill="FFFFFF"/>
        </w:rPr>
        <w:t>łosz</w:t>
      </w:r>
      <w:r w:rsidR="00DC2E56" w:rsidRPr="004B6B00">
        <w:rPr>
          <w:rFonts w:ascii="Bahnschrift Light" w:hAnsi="Bahnschrift Light"/>
          <w:color w:val="202124"/>
          <w:spacing w:val="3"/>
          <w:shd w:val="clear" w:color="auto" w:fill="FFFFFF"/>
        </w:rPr>
        <w:t>on</w:t>
      </w:r>
      <w:r w:rsidRPr="004B6B00">
        <w:rPr>
          <w:rFonts w:ascii="Bahnschrift Light" w:hAnsi="Bahnschrift Light"/>
          <w:color w:val="202124"/>
          <w:spacing w:val="3"/>
          <w:shd w:val="clear" w:color="auto" w:fill="FFFFFF"/>
        </w:rPr>
        <w:t xml:space="preserve">y w </w:t>
      </w:r>
      <w:r w:rsidRPr="004B6B00">
        <w:rPr>
          <w:rFonts w:ascii="Bahnschrift Light" w:hAnsi="Bahnschrift Light"/>
          <w:color w:val="auto"/>
          <w:spacing w:val="3"/>
          <w:shd w:val="clear" w:color="auto" w:fill="FFFFFF"/>
        </w:rPr>
        <w:t>20</w:t>
      </w:r>
      <w:r w:rsidR="00DC2E56" w:rsidRPr="004B6B00">
        <w:rPr>
          <w:rFonts w:ascii="Bahnschrift Light" w:hAnsi="Bahnschrift Light"/>
          <w:color w:val="auto"/>
          <w:spacing w:val="3"/>
          <w:shd w:val="clear" w:color="auto" w:fill="FFFFFF"/>
        </w:rPr>
        <w:t>22 roku i jest dostępny na stronie internetowej i intranetowej Instytutu. Należy w t</w:t>
      </w:r>
      <w:r w:rsidR="00DC2E56" w:rsidRPr="004B6B00">
        <w:rPr>
          <w:rFonts w:ascii="Bahnschrift Light" w:hAnsi="Bahnschrift Light"/>
          <w:color w:val="202124"/>
          <w:spacing w:val="3"/>
          <w:shd w:val="clear" w:color="auto" w:fill="FFFFFF"/>
        </w:rPr>
        <w:t xml:space="preserve">ym zakresie podjąć działania uświadamiające naukowcom </w:t>
      </w:r>
      <w:r w:rsidR="00EA268A" w:rsidRPr="004B6B00">
        <w:rPr>
          <w:rFonts w:ascii="Bahnschrift Light" w:hAnsi="Bahnschrift Light"/>
          <w:color w:val="202124"/>
          <w:spacing w:val="3"/>
          <w:shd w:val="clear" w:color="auto" w:fill="FFFFFF"/>
        </w:rPr>
        <w:t>co oznacza</w:t>
      </w:r>
      <w:r w:rsidR="00DC2E56" w:rsidRPr="004B6B00">
        <w:rPr>
          <w:rFonts w:ascii="Bahnschrift Light" w:hAnsi="Bahnschrift Light"/>
          <w:color w:val="202124"/>
          <w:spacing w:val="3"/>
          <w:shd w:val="clear" w:color="auto" w:fill="FFFFFF"/>
        </w:rPr>
        <w:t xml:space="preserve"> </w:t>
      </w:r>
      <w:r w:rsidR="00EA268A" w:rsidRPr="004B6B00">
        <w:rPr>
          <w:rFonts w:ascii="Bahnschrift Light" w:hAnsi="Bahnschrift Light"/>
          <w:color w:val="202124"/>
          <w:spacing w:val="3"/>
          <w:shd w:val="clear" w:color="auto" w:fill="FFFFFF"/>
        </w:rPr>
        <w:t>plan równości płci</w:t>
      </w:r>
      <w:r w:rsidR="00DC2E56" w:rsidRPr="004B6B00">
        <w:rPr>
          <w:rFonts w:ascii="Bahnschrift Light" w:hAnsi="Bahnschrift Light"/>
          <w:color w:val="202124"/>
          <w:spacing w:val="3"/>
          <w:shd w:val="clear" w:color="auto" w:fill="FFFFFF"/>
        </w:rPr>
        <w:t xml:space="preserve"> poprzez szkolenia i spotkania informacyjne. </w:t>
      </w:r>
    </w:p>
    <w:p w14:paraId="152571DF" w14:textId="3BCB0E66" w:rsidR="00B56229" w:rsidRPr="004B6B00" w:rsidRDefault="00DC2E56" w:rsidP="00895AEE">
      <w:pPr>
        <w:pStyle w:val="Default"/>
        <w:numPr>
          <w:ilvl w:val="0"/>
          <w:numId w:val="20"/>
        </w:numPr>
        <w:jc w:val="both"/>
        <w:rPr>
          <w:rFonts w:ascii="Bahnschrift Light" w:hAnsi="Bahnschrift Light"/>
          <w:color w:val="202124"/>
          <w:spacing w:val="3"/>
          <w:shd w:val="clear" w:color="auto" w:fill="FFFFFF"/>
        </w:rPr>
      </w:pPr>
      <w:r w:rsidRPr="004B6B00">
        <w:rPr>
          <w:rFonts w:ascii="Bahnschrift Light" w:hAnsi="Bahnschrift Light"/>
          <w:color w:val="202124"/>
          <w:spacing w:val="3"/>
          <w:shd w:val="clear" w:color="auto" w:fill="FFFFFF"/>
        </w:rPr>
        <w:t>Na pytanie: czy Instytut stworzył system oceny pracowników, który uwzględnia ich kreatywność badawczą i wyniki badań (w tym publikacje, patenty, mobilność krajową i międzynarodową itp.) 32.5% naukowców odpowiedziało</w:t>
      </w:r>
      <w:r w:rsidR="00B56229" w:rsidRPr="004B6B00">
        <w:rPr>
          <w:rFonts w:ascii="Bahnschrift Light" w:hAnsi="Bahnschrift Light"/>
          <w:color w:val="202124"/>
          <w:spacing w:val="3"/>
          <w:shd w:val="clear" w:color="auto" w:fill="FFFFFF"/>
        </w:rPr>
        <w:t xml:space="preserve">, że nie stworzył. </w:t>
      </w:r>
      <w:r w:rsidR="008755D4" w:rsidRPr="004B6B00">
        <w:rPr>
          <w:rFonts w:ascii="Bahnschrift Light" w:hAnsi="Bahnschrift Light"/>
          <w:color w:val="202124"/>
          <w:spacing w:val="3"/>
          <w:shd w:val="clear" w:color="auto" w:fill="FFFFFF"/>
        </w:rPr>
        <w:t>Tymczasem tak</w:t>
      </w:r>
      <w:r w:rsidR="00A53DD5" w:rsidRPr="004B6B00">
        <w:rPr>
          <w:rFonts w:ascii="Bahnschrift Light" w:hAnsi="Bahnschrift Light"/>
          <w:color w:val="202124"/>
          <w:spacing w:val="3"/>
          <w:shd w:val="clear" w:color="auto" w:fill="FFFFFF"/>
        </w:rPr>
        <w:t>i system</w:t>
      </w:r>
      <w:r w:rsidR="008755D4" w:rsidRPr="004B6B00">
        <w:rPr>
          <w:rFonts w:ascii="Bahnschrift Light" w:hAnsi="Bahnschrift Light"/>
          <w:color w:val="202124"/>
          <w:spacing w:val="3"/>
          <w:shd w:val="clear" w:color="auto" w:fill="FFFFFF"/>
        </w:rPr>
        <w:t xml:space="preserve"> ocen</w:t>
      </w:r>
      <w:r w:rsidR="00A53DD5" w:rsidRPr="004B6B00">
        <w:rPr>
          <w:rFonts w:ascii="Bahnschrift Light" w:hAnsi="Bahnschrift Light"/>
          <w:color w:val="202124"/>
          <w:spacing w:val="3"/>
          <w:shd w:val="clear" w:color="auto" w:fill="FFFFFF"/>
        </w:rPr>
        <w:t>y istnieje i</w:t>
      </w:r>
      <w:r w:rsidR="008755D4" w:rsidRPr="004B6B00">
        <w:rPr>
          <w:rFonts w:ascii="Bahnschrift Light" w:hAnsi="Bahnschrift Light"/>
          <w:color w:val="202124"/>
          <w:spacing w:val="3"/>
          <w:shd w:val="clear" w:color="auto" w:fill="FFFFFF"/>
        </w:rPr>
        <w:t xml:space="preserve"> </w:t>
      </w:r>
      <w:r w:rsidR="00696E1E">
        <w:rPr>
          <w:rFonts w:ascii="Bahnschrift Light" w:hAnsi="Bahnschrift Light"/>
          <w:color w:val="202124"/>
          <w:spacing w:val="3"/>
          <w:shd w:val="clear" w:color="auto" w:fill="FFFFFF"/>
        </w:rPr>
        <w:t>na początku</w:t>
      </w:r>
      <w:r w:rsidR="008755D4" w:rsidRPr="004B6B00">
        <w:rPr>
          <w:rFonts w:ascii="Bahnschrift Light" w:hAnsi="Bahnschrift Light"/>
          <w:color w:val="202124"/>
          <w:spacing w:val="3"/>
          <w:shd w:val="clear" w:color="auto" w:fill="FFFFFF"/>
        </w:rPr>
        <w:t xml:space="preserve"> każdego</w:t>
      </w:r>
      <w:r w:rsidR="00A53DD5" w:rsidRPr="004B6B00">
        <w:rPr>
          <w:rFonts w:ascii="Bahnschrift Light" w:hAnsi="Bahnschrift Light"/>
          <w:color w:val="202124"/>
          <w:spacing w:val="3"/>
          <w:shd w:val="clear" w:color="auto" w:fill="FFFFFF"/>
        </w:rPr>
        <w:t xml:space="preserve"> roku</w:t>
      </w:r>
      <w:r w:rsidR="00696E1E">
        <w:rPr>
          <w:rFonts w:ascii="Bahnschrift Light" w:hAnsi="Bahnschrift Light"/>
          <w:color w:val="202124"/>
          <w:spacing w:val="3"/>
          <w:shd w:val="clear" w:color="auto" w:fill="FFFFFF"/>
        </w:rPr>
        <w:t>,</w:t>
      </w:r>
      <w:r w:rsidR="008755D4" w:rsidRPr="004B6B00">
        <w:rPr>
          <w:rFonts w:ascii="Bahnschrift Light" w:hAnsi="Bahnschrift Light"/>
          <w:color w:val="202124"/>
          <w:spacing w:val="3"/>
          <w:shd w:val="clear" w:color="auto" w:fill="FFFFFF"/>
        </w:rPr>
        <w:t xml:space="preserve"> </w:t>
      </w:r>
      <w:r w:rsidR="00696E1E" w:rsidRPr="004B6B00">
        <w:rPr>
          <w:rFonts w:ascii="Bahnschrift Light" w:hAnsi="Bahnschrift Light"/>
          <w:color w:val="202124"/>
          <w:spacing w:val="3"/>
          <w:shd w:val="clear" w:color="auto" w:fill="FFFFFF"/>
        </w:rPr>
        <w:t xml:space="preserve">na podstawie </w:t>
      </w:r>
      <w:proofErr w:type="spellStart"/>
      <w:r w:rsidR="00696E1E" w:rsidRPr="004B6B00">
        <w:rPr>
          <w:rFonts w:ascii="Bahnschrift Light" w:hAnsi="Bahnschrift Light"/>
          <w:color w:val="202124"/>
          <w:spacing w:val="3"/>
          <w:shd w:val="clear" w:color="auto" w:fill="FFFFFF"/>
        </w:rPr>
        <w:t>reguralnie</w:t>
      </w:r>
      <w:proofErr w:type="spellEnd"/>
      <w:r w:rsidR="00696E1E" w:rsidRPr="004B6B00">
        <w:rPr>
          <w:rFonts w:ascii="Bahnschrift Light" w:hAnsi="Bahnschrift Light"/>
          <w:color w:val="202124"/>
          <w:spacing w:val="3"/>
          <w:shd w:val="clear" w:color="auto" w:fill="FFFFFF"/>
        </w:rPr>
        <w:t xml:space="preserve"> uzupełnianych przez naukowców formularzy</w:t>
      </w:r>
      <w:r w:rsidR="00696E1E">
        <w:rPr>
          <w:rFonts w:ascii="Bahnschrift Light" w:hAnsi="Bahnschrift Light"/>
          <w:color w:val="202124"/>
          <w:spacing w:val="3"/>
          <w:shd w:val="clear" w:color="auto" w:fill="FFFFFF"/>
        </w:rPr>
        <w:t>,</w:t>
      </w:r>
      <w:r w:rsidR="00696E1E" w:rsidRPr="004B6B00">
        <w:rPr>
          <w:rFonts w:ascii="Bahnschrift Light" w:hAnsi="Bahnschrift Light"/>
          <w:color w:val="202124"/>
          <w:spacing w:val="3"/>
          <w:shd w:val="clear" w:color="auto" w:fill="FFFFFF"/>
        </w:rPr>
        <w:t xml:space="preserve"> </w:t>
      </w:r>
      <w:r w:rsidR="00A53DD5" w:rsidRPr="004B6B00">
        <w:rPr>
          <w:rFonts w:ascii="Bahnschrift Light" w:hAnsi="Bahnschrift Light"/>
          <w:color w:val="202124"/>
          <w:spacing w:val="3"/>
          <w:shd w:val="clear" w:color="auto" w:fill="FFFFFF"/>
        </w:rPr>
        <w:t>przeprowadzana jest</w:t>
      </w:r>
      <w:r w:rsidR="008755D4" w:rsidRPr="004B6B00">
        <w:rPr>
          <w:rFonts w:ascii="Bahnschrift Light" w:hAnsi="Bahnschrift Light"/>
          <w:color w:val="202124"/>
          <w:spacing w:val="3"/>
          <w:shd w:val="clear" w:color="auto" w:fill="FFFFFF"/>
        </w:rPr>
        <w:t xml:space="preserve"> </w:t>
      </w:r>
      <w:r w:rsidR="00A53DD5" w:rsidRPr="004B6B00">
        <w:rPr>
          <w:rFonts w:ascii="Bahnschrift Light" w:hAnsi="Bahnschrift Light"/>
          <w:color w:val="202124"/>
          <w:spacing w:val="3"/>
          <w:shd w:val="clear" w:color="auto" w:fill="FFFFFF"/>
        </w:rPr>
        <w:t xml:space="preserve">ocena wszystkich pracowników </w:t>
      </w:r>
      <w:r w:rsidR="008755D4" w:rsidRPr="004B6B00">
        <w:rPr>
          <w:rFonts w:ascii="Bahnschrift Light" w:hAnsi="Bahnschrift Light"/>
          <w:color w:val="202124"/>
          <w:spacing w:val="3"/>
          <w:shd w:val="clear" w:color="auto" w:fill="FFFFFF"/>
        </w:rPr>
        <w:t>prze</w:t>
      </w:r>
      <w:r w:rsidR="00EA268A" w:rsidRPr="004B6B00">
        <w:rPr>
          <w:rFonts w:ascii="Bahnschrift Light" w:hAnsi="Bahnschrift Light"/>
          <w:color w:val="202124"/>
          <w:spacing w:val="3"/>
          <w:shd w:val="clear" w:color="auto" w:fill="FFFFFF"/>
        </w:rPr>
        <w:t>z</w:t>
      </w:r>
      <w:r w:rsidR="008755D4" w:rsidRPr="004B6B00">
        <w:rPr>
          <w:rFonts w:ascii="Bahnschrift Light" w:hAnsi="Bahnschrift Light"/>
          <w:color w:val="202124"/>
          <w:spacing w:val="3"/>
          <w:shd w:val="clear" w:color="auto" w:fill="FFFFFF"/>
        </w:rPr>
        <w:t xml:space="preserve"> Dyrekcję Instytutu. </w:t>
      </w:r>
      <w:r w:rsidR="00696E1E">
        <w:rPr>
          <w:rFonts w:ascii="Bahnschrift Light" w:hAnsi="Bahnschrift Light"/>
          <w:color w:val="202124"/>
          <w:spacing w:val="3"/>
          <w:shd w:val="clear" w:color="auto" w:fill="FFFFFF"/>
        </w:rPr>
        <w:t>Ponadto</w:t>
      </w:r>
      <w:r w:rsidR="008755D4" w:rsidRPr="004B6B00">
        <w:rPr>
          <w:rFonts w:ascii="Bahnschrift Light" w:hAnsi="Bahnschrift Light"/>
          <w:color w:val="202124"/>
          <w:spacing w:val="3"/>
          <w:shd w:val="clear" w:color="auto" w:fill="FFFFFF"/>
        </w:rPr>
        <w:t xml:space="preserve"> </w:t>
      </w:r>
      <w:r w:rsidR="00A83B9C" w:rsidRPr="004B6B00">
        <w:rPr>
          <w:rFonts w:ascii="Bahnschrift Light" w:hAnsi="Bahnschrift Light"/>
          <w:color w:val="202124"/>
          <w:spacing w:val="3"/>
          <w:shd w:val="clear" w:color="auto" w:fill="FFFFFF"/>
        </w:rPr>
        <w:t>na podstawie tych samych danych</w:t>
      </w:r>
      <w:r w:rsidR="00696E1E">
        <w:rPr>
          <w:rFonts w:ascii="Bahnschrift Light" w:hAnsi="Bahnschrift Light"/>
          <w:color w:val="202124"/>
          <w:spacing w:val="3"/>
          <w:shd w:val="clear" w:color="auto" w:fill="FFFFFF"/>
        </w:rPr>
        <w:t>,</w:t>
      </w:r>
      <w:r w:rsidR="00A83B9C" w:rsidRPr="004B6B00">
        <w:rPr>
          <w:rFonts w:ascii="Bahnschrift Light" w:hAnsi="Bahnschrift Light"/>
          <w:color w:val="202124"/>
          <w:spacing w:val="3"/>
          <w:shd w:val="clear" w:color="auto" w:fill="FFFFFF"/>
        </w:rPr>
        <w:t xml:space="preserve"> w ramach prac Komisji Rady Naukowej ds. oceny pracowników naukowych</w:t>
      </w:r>
      <w:r w:rsidR="00696E1E">
        <w:rPr>
          <w:rFonts w:ascii="Bahnschrift Light" w:hAnsi="Bahnschrift Light"/>
          <w:color w:val="202124"/>
          <w:spacing w:val="3"/>
          <w:shd w:val="clear" w:color="auto" w:fill="FFFFFF"/>
        </w:rPr>
        <w:t>,</w:t>
      </w:r>
      <w:r w:rsidR="00A83B9C" w:rsidRPr="004B6B00">
        <w:rPr>
          <w:rFonts w:ascii="Bahnschrift Light" w:hAnsi="Bahnschrift Light"/>
          <w:color w:val="202124"/>
          <w:spacing w:val="3"/>
          <w:shd w:val="clear" w:color="auto" w:fill="FFFFFF"/>
        </w:rPr>
        <w:t xml:space="preserve"> </w:t>
      </w:r>
      <w:r w:rsidR="008755D4" w:rsidRPr="004B6B00">
        <w:rPr>
          <w:rFonts w:ascii="Bahnschrift Light" w:hAnsi="Bahnschrift Light"/>
          <w:color w:val="202124"/>
          <w:spacing w:val="3"/>
          <w:shd w:val="clear" w:color="auto" w:fill="FFFFFF"/>
        </w:rPr>
        <w:t xml:space="preserve">co 4 lata pracownicy naukowi oceniani </w:t>
      </w:r>
      <w:r w:rsidR="00696E1E" w:rsidRPr="004B6B00">
        <w:rPr>
          <w:rFonts w:ascii="Bahnschrift Light" w:hAnsi="Bahnschrift Light"/>
          <w:color w:val="202124"/>
          <w:spacing w:val="3"/>
          <w:shd w:val="clear" w:color="auto" w:fill="FFFFFF"/>
        </w:rPr>
        <w:t>s</w:t>
      </w:r>
      <w:r w:rsidR="00696E1E">
        <w:rPr>
          <w:rFonts w:ascii="Bahnschrift Light" w:hAnsi="Bahnschrift Light"/>
          <w:color w:val="202124"/>
          <w:spacing w:val="3"/>
          <w:shd w:val="clear" w:color="auto" w:fill="FFFFFF"/>
        </w:rPr>
        <w:t>ą</w:t>
      </w:r>
      <w:r w:rsidR="00696E1E" w:rsidRPr="004B6B00">
        <w:rPr>
          <w:rFonts w:ascii="Bahnschrift Light" w:hAnsi="Bahnschrift Light"/>
          <w:color w:val="202124"/>
          <w:spacing w:val="3"/>
          <w:shd w:val="clear" w:color="auto" w:fill="FFFFFF"/>
        </w:rPr>
        <w:t xml:space="preserve"> </w:t>
      </w:r>
      <w:r w:rsidR="008755D4" w:rsidRPr="004B6B00">
        <w:rPr>
          <w:rFonts w:ascii="Bahnschrift Light" w:hAnsi="Bahnschrift Light"/>
          <w:color w:val="202124"/>
          <w:spacing w:val="3"/>
          <w:shd w:val="clear" w:color="auto" w:fill="FFFFFF"/>
        </w:rPr>
        <w:t xml:space="preserve">na mocy </w:t>
      </w:r>
      <w:r w:rsidR="00696E1E">
        <w:rPr>
          <w:rFonts w:ascii="Bahnschrift Light" w:hAnsi="Bahnschrift Light"/>
          <w:color w:val="202124"/>
          <w:spacing w:val="3"/>
          <w:shd w:val="clear" w:color="auto" w:fill="FFFFFF"/>
        </w:rPr>
        <w:t>U</w:t>
      </w:r>
      <w:r w:rsidR="00696E1E" w:rsidRPr="004B6B00">
        <w:rPr>
          <w:rFonts w:ascii="Bahnschrift Light" w:hAnsi="Bahnschrift Light"/>
          <w:color w:val="202124"/>
          <w:spacing w:val="3"/>
          <w:shd w:val="clear" w:color="auto" w:fill="FFFFFF"/>
        </w:rPr>
        <w:t xml:space="preserve">stawy </w:t>
      </w:r>
      <w:r w:rsidR="008755D4" w:rsidRPr="004B6B00">
        <w:rPr>
          <w:rFonts w:ascii="Bahnschrift Light" w:hAnsi="Bahnschrift Light"/>
          <w:color w:val="202124"/>
          <w:spacing w:val="3"/>
          <w:shd w:val="clear" w:color="auto" w:fill="FFFFFF"/>
        </w:rPr>
        <w:t xml:space="preserve">o </w:t>
      </w:r>
      <w:r w:rsidR="00696E1E">
        <w:rPr>
          <w:rFonts w:ascii="Bahnschrift Light" w:hAnsi="Bahnschrift Light"/>
          <w:color w:val="202124"/>
          <w:spacing w:val="3"/>
          <w:shd w:val="clear" w:color="auto" w:fill="FFFFFF"/>
        </w:rPr>
        <w:t>S</w:t>
      </w:r>
      <w:r w:rsidR="00696E1E" w:rsidRPr="004B6B00">
        <w:rPr>
          <w:rFonts w:ascii="Bahnschrift Light" w:hAnsi="Bahnschrift Light"/>
          <w:color w:val="202124"/>
          <w:spacing w:val="3"/>
          <w:shd w:val="clear" w:color="auto" w:fill="FFFFFF"/>
        </w:rPr>
        <w:t>zkolnictw</w:t>
      </w:r>
      <w:r w:rsidR="00696E1E">
        <w:rPr>
          <w:rFonts w:ascii="Bahnschrift Light" w:hAnsi="Bahnschrift Light"/>
          <w:color w:val="202124"/>
          <w:spacing w:val="3"/>
          <w:shd w:val="clear" w:color="auto" w:fill="FFFFFF"/>
        </w:rPr>
        <w:t>i</w:t>
      </w:r>
      <w:r w:rsidR="00696E1E" w:rsidRPr="004B6B00">
        <w:rPr>
          <w:rFonts w:ascii="Bahnschrift Light" w:hAnsi="Bahnschrift Light"/>
          <w:color w:val="202124"/>
          <w:spacing w:val="3"/>
          <w:shd w:val="clear" w:color="auto" w:fill="FFFFFF"/>
        </w:rPr>
        <w:t xml:space="preserve">e </w:t>
      </w:r>
      <w:r w:rsidR="00696E1E">
        <w:rPr>
          <w:rFonts w:ascii="Bahnschrift Light" w:hAnsi="Bahnschrift Light"/>
          <w:color w:val="202124"/>
          <w:spacing w:val="3"/>
          <w:shd w:val="clear" w:color="auto" w:fill="FFFFFF"/>
        </w:rPr>
        <w:t>W</w:t>
      </w:r>
      <w:r w:rsidR="00696E1E" w:rsidRPr="004B6B00">
        <w:rPr>
          <w:rFonts w:ascii="Bahnschrift Light" w:hAnsi="Bahnschrift Light"/>
          <w:color w:val="202124"/>
          <w:spacing w:val="3"/>
          <w:shd w:val="clear" w:color="auto" w:fill="FFFFFF"/>
        </w:rPr>
        <w:t>yższym</w:t>
      </w:r>
      <w:r w:rsidR="008755D4" w:rsidRPr="004B6B00">
        <w:rPr>
          <w:rFonts w:ascii="Bahnschrift Light" w:hAnsi="Bahnschrift Light"/>
          <w:color w:val="202124"/>
          <w:spacing w:val="3"/>
          <w:shd w:val="clear" w:color="auto" w:fill="FFFFFF"/>
        </w:rPr>
        <w:t xml:space="preserve">. </w:t>
      </w:r>
    </w:p>
    <w:p w14:paraId="343B51DD" w14:textId="77F44481" w:rsidR="00DC2E56" w:rsidRPr="004B6B00" w:rsidRDefault="00696E1E" w:rsidP="00895AEE">
      <w:pPr>
        <w:pStyle w:val="Default"/>
        <w:numPr>
          <w:ilvl w:val="0"/>
          <w:numId w:val="20"/>
        </w:numPr>
        <w:jc w:val="both"/>
        <w:rPr>
          <w:rFonts w:ascii="Bahnschrift Light" w:hAnsi="Bahnschrift Light"/>
          <w:color w:val="202124"/>
          <w:spacing w:val="3"/>
          <w:shd w:val="clear" w:color="auto" w:fill="FFFFFF"/>
        </w:rPr>
      </w:pPr>
      <w:r>
        <w:rPr>
          <w:rFonts w:ascii="Bahnschrift Light" w:hAnsi="Bahnschrift Light"/>
          <w:color w:val="202124"/>
          <w:spacing w:val="3"/>
          <w:shd w:val="clear" w:color="auto" w:fill="FFFFFF"/>
        </w:rPr>
        <w:t>Wyniki ankiety wykazały, że</w:t>
      </w:r>
      <w:r w:rsidR="00B56229" w:rsidRPr="004B6B00">
        <w:rPr>
          <w:rFonts w:ascii="Bahnschrift Light" w:hAnsi="Bahnschrift Light"/>
          <w:color w:val="202124"/>
          <w:spacing w:val="3"/>
          <w:shd w:val="clear" w:color="auto" w:fill="FFFFFF"/>
        </w:rPr>
        <w:t xml:space="preserve"> należy zwiększyć świadomość pracowników na temat działań badawczych zgodnie z obowiązującymi inicjatywami </w:t>
      </w:r>
      <w:r w:rsidR="008C322A" w:rsidRPr="004B6B00">
        <w:rPr>
          <w:rFonts w:ascii="Bahnschrift Light" w:hAnsi="Bahnschrift Light"/>
          <w:color w:val="202124"/>
          <w:spacing w:val="3"/>
          <w:shd w:val="clear" w:color="auto" w:fill="FFFFFF"/>
        </w:rPr>
        <w:t xml:space="preserve">ogólnokrajowymi </w:t>
      </w:r>
      <w:r w:rsidR="00B56229" w:rsidRPr="004B6B00">
        <w:rPr>
          <w:rFonts w:ascii="Bahnschrift Light" w:hAnsi="Bahnschrift Light"/>
          <w:color w:val="202124"/>
          <w:spacing w:val="3"/>
          <w:shd w:val="clear" w:color="auto" w:fill="FFFFFF"/>
        </w:rPr>
        <w:t xml:space="preserve">przyjętymi na rzecz postępu społecznego poprzez szkolenia i spotkania informacyjne. </w:t>
      </w:r>
    </w:p>
    <w:p w14:paraId="74F46E55" w14:textId="184EE67D" w:rsidR="00CD5483" w:rsidRPr="004B6B00" w:rsidRDefault="00B56229" w:rsidP="00895AEE">
      <w:pPr>
        <w:pStyle w:val="Default"/>
        <w:numPr>
          <w:ilvl w:val="0"/>
          <w:numId w:val="20"/>
        </w:numPr>
        <w:jc w:val="both"/>
        <w:rPr>
          <w:rFonts w:ascii="Bahnschrift Light" w:hAnsi="Bahnschrift Light"/>
        </w:rPr>
      </w:pPr>
      <w:r w:rsidRPr="004B6B00">
        <w:rPr>
          <w:rFonts w:ascii="Bahnschrift Light" w:hAnsi="Bahnschrift Light"/>
        </w:rPr>
        <w:t>97</w:t>
      </w:r>
      <w:r w:rsidR="001B7E7F" w:rsidRPr="004B6B00">
        <w:rPr>
          <w:rFonts w:ascii="Bahnschrift Light" w:hAnsi="Bahnschrift Light"/>
        </w:rPr>
        <w:t>.</w:t>
      </w:r>
      <w:r w:rsidRPr="004B6B00">
        <w:rPr>
          <w:rFonts w:ascii="Bahnschrift Light" w:hAnsi="Bahnschrift Light"/>
        </w:rPr>
        <w:t xml:space="preserve">5 % respondentów przestrzega zasad </w:t>
      </w:r>
      <w:r w:rsidRPr="004B6B00">
        <w:rPr>
          <w:rFonts w:ascii="Bahnschrift Light" w:hAnsi="Bahnschrift Light"/>
          <w:color w:val="202124"/>
          <w:spacing w:val="3"/>
          <w:shd w:val="clear" w:color="auto" w:fill="FFFFFF"/>
        </w:rPr>
        <w:t>i norm etycznych w swojej codziennej pracy, zaś 82</w:t>
      </w:r>
      <w:r w:rsidR="003B1FCF" w:rsidRPr="004B6B00">
        <w:rPr>
          <w:rFonts w:ascii="Bahnschrift Light" w:hAnsi="Bahnschrift Light"/>
          <w:color w:val="202124"/>
          <w:spacing w:val="3"/>
          <w:shd w:val="clear" w:color="auto" w:fill="FFFFFF"/>
        </w:rPr>
        <w:t>.</w:t>
      </w:r>
      <w:r w:rsidRPr="004B6B00">
        <w:rPr>
          <w:rFonts w:ascii="Bahnschrift Light" w:hAnsi="Bahnschrift Light"/>
          <w:color w:val="202124"/>
          <w:spacing w:val="3"/>
          <w:shd w:val="clear" w:color="auto" w:fill="FFFFFF"/>
        </w:rPr>
        <w:t xml:space="preserve">3 % zna zasady zawarte w Kodeksie Etyki Pracownika Naukowego PAN co wskazuje wysoką świadomość zasad etycznych wśród naukowców. </w:t>
      </w:r>
    </w:p>
    <w:p w14:paraId="218C534F" w14:textId="77777777" w:rsidR="00CD5483" w:rsidRPr="004B6B00" w:rsidRDefault="00CD5483" w:rsidP="006710C8">
      <w:pPr>
        <w:pStyle w:val="Default"/>
        <w:jc w:val="both"/>
        <w:rPr>
          <w:rFonts w:ascii="Bahnschrift Light" w:hAnsi="Bahnschrift Light"/>
        </w:rPr>
      </w:pPr>
    </w:p>
    <w:p w14:paraId="578F8C88" w14:textId="6F44201C" w:rsidR="00C6563B" w:rsidRPr="004B6B00" w:rsidRDefault="00C6563B" w:rsidP="006C0A84">
      <w:pPr>
        <w:pStyle w:val="Nagwek1"/>
      </w:pPr>
      <w:bookmarkStart w:id="22" w:name="_Toc189226051"/>
      <w:r w:rsidRPr="004B6B00">
        <w:t>FILAR 2</w:t>
      </w:r>
      <w:bookmarkEnd w:id="22"/>
    </w:p>
    <w:p w14:paraId="5BFE4B8F" w14:textId="41864504" w:rsidR="00C6563B" w:rsidRPr="004B6B00" w:rsidRDefault="00C6563B" w:rsidP="006C0A84">
      <w:pPr>
        <w:pStyle w:val="Nagwek1"/>
      </w:pPr>
      <w:bookmarkStart w:id="23" w:name="_Hlk182475674"/>
      <w:bookmarkStart w:id="24" w:name="_Toc189226052"/>
      <w:r w:rsidRPr="004B6B00">
        <w:t>Ocena i rekrutacja naukowców, postęp w karierze</w:t>
      </w:r>
      <w:bookmarkEnd w:id="24"/>
    </w:p>
    <w:bookmarkEnd w:id="23"/>
    <w:p w14:paraId="76324D0C" w14:textId="77777777" w:rsidR="004803FE" w:rsidRPr="004B6B00" w:rsidRDefault="004803FE" w:rsidP="006710C8">
      <w:pPr>
        <w:pStyle w:val="Default"/>
        <w:jc w:val="both"/>
        <w:rPr>
          <w:rFonts w:ascii="Bahnschrift Light" w:hAnsi="Bahnschrift Light"/>
        </w:rPr>
      </w:pPr>
    </w:p>
    <w:p w14:paraId="06E049F5" w14:textId="79E74FAE" w:rsidR="006F44A2" w:rsidRPr="004B6B00" w:rsidRDefault="006F44A2" w:rsidP="006C0A84">
      <w:pPr>
        <w:pStyle w:val="Nagwek2"/>
        <w:numPr>
          <w:ilvl w:val="1"/>
          <w:numId w:val="8"/>
        </w:numPr>
      </w:pPr>
      <w:bookmarkStart w:id="25" w:name="_Hlk182475694"/>
      <w:bookmarkStart w:id="26" w:name="_Toc189226053"/>
      <w:r w:rsidRPr="004B6B00">
        <w:t>Ocena naukowców</w:t>
      </w:r>
      <w:bookmarkEnd w:id="26"/>
      <w:r w:rsidRPr="004B6B00">
        <w:t xml:space="preserve"> </w:t>
      </w:r>
    </w:p>
    <w:bookmarkEnd w:id="25"/>
    <w:p w14:paraId="393336DD" w14:textId="77777777" w:rsidR="00964307" w:rsidRDefault="00964307" w:rsidP="00C8462E">
      <w:pPr>
        <w:pStyle w:val="Default"/>
        <w:jc w:val="both"/>
        <w:rPr>
          <w:rFonts w:ascii="Bahnschrift Light" w:hAnsi="Bahnschrift Light"/>
        </w:rPr>
      </w:pPr>
    </w:p>
    <w:p w14:paraId="1B52605F" w14:textId="55B813BF" w:rsidR="00A97221" w:rsidRDefault="00964307" w:rsidP="00C8462E">
      <w:pPr>
        <w:pStyle w:val="Default"/>
        <w:jc w:val="both"/>
        <w:rPr>
          <w:rFonts w:ascii="Bahnschrift Light" w:hAnsi="Bahnschrift Light"/>
        </w:rPr>
      </w:pPr>
      <w:r w:rsidRPr="00964307">
        <w:rPr>
          <w:rFonts w:ascii="Bahnschrift Light" w:hAnsi="Bahnschrift Light"/>
        </w:rPr>
        <w:t>Ocena naukowców powinna umożliwiać ewaluację ich osiągnięć i wpływu w celu zapewnienia najwyższej jakości badań. Konieczne jest uznanie coraz bardziej zróżnicowanej działalności badawczej i praktyk badawczych. Dlatego podstawą oceny powinna być ocena jakościowa, w której kluczową rolę odgrywa ocena przez ekspertów, wspierana odpowiednim stosowaniem wskaźników ilościowych.</w:t>
      </w:r>
    </w:p>
    <w:p w14:paraId="2F68CD99" w14:textId="6ECF9E6A" w:rsidR="00A97221" w:rsidRDefault="00AD4CC1" w:rsidP="00C8462E">
      <w:pPr>
        <w:pStyle w:val="Default"/>
        <w:jc w:val="both"/>
        <w:rPr>
          <w:rFonts w:ascii="Bahnschrift Light" w:hAnsi="Bahnschrift Light"/>
        </w:rPr>
      </w:pPr>
      <w:r w:rsidRPr="004B6B00">
        <w:rPr>
          <w:rFonts w:ascii="Bahnschrift Light" w:hAnsi="Bahnschrift Light"/>
        </w:rPr>
        <w:lastRenderedPageBreak/>
        <w:t xml:space="preserve">Pracodawcy i </w:t>
      </w:r>
      <w:proofErr w:type="spellStart"/>
      <w:r w:rsidRPr="004B6B00">
        <w:rPr>
          <w:rFonts w:ascii="Bahnschrift Light" w:hAnsi="Bahnschrift Light"/>
        </w:rPr>
        <w:t>grantodawcy</w:t>
      </w:r>
      <w:proofErr w:type="spellEnd"/>
      <w:r w:rsidRPr="004B6B00">
        <w:rPr>
          <w:rFonts w:ascii="Bahnschrift Light" w:hAnsi="Bahnschrift Light"/>
        </w:rPr>
        <w:t xml:space="preserve"> powinni wspierać system oceny, w którym uwzględnia się ogólną jakość wpływu</w:t>
      </w:r>
      <w:r w:rsidR="00A97221">
        <w:rPr>
          <w:rFonts w:ascii="Bahnschrift Light" w:hAnsi="Bahnschrift Light"/>
        </w:rPr>
        <w:t xml:space="preserve"> badań</w:t>
      </w:r>
      <w:r w:rsidRPr="004B6B00">
        <w:rPr>
          <w:rFonts w:ascii="Bahnschrift Light" w:hAnsi="Bahnschrift Light"/>
        </w:rPr>
        <w:t xml:space="preserve"> na społeczeństwo, naukę i innowacje, różnorodność prowadzonych działań, praktyki na rzecz otwartej nauki oraz wartość mobilności geograficznej, interdyscyplinarnej i międzysektorowej. </w:t>
      </w:r>
    </w:p>
    <w:p w14:paraId="59A7B440" w14:textId="72D6A445" w:rsidR="00AD4CC1" w:rsidRPr="004B6B00" w:rsidRDefault="00AD4CC1" w:rsidP="00C8462E">
      <w:pPr>
        <w:pStyle w:val="Default"/>
        <w:jc w:val="both"/>
        <w:rPr>
          <w:rFonts w:ascii="Bahnschrift Light" w:hAnsi="Bahnschrift Light"/>
        </w:rPr>
      </w:pPr>
      <w:r w:rsidRPr="004B6B00">
        <w:rPr>
          <w:rFonts w:ascii="Bahnschrift Light" w:hAnsi="Bahnschrift Light"/>
        </w:rPr>
        <w:t xml:space="preserve">System taki powinien: </w:t>
      </w:r>
    </w:p>
    <w:p w14:paraId="55EB24D4" w14:textId="697F186A" w:rsidR="00AD4CC1" w:rsidRPr="004B6B00" w:rsidRDefault="00AD4CC1" w:rsidP="00C8462E">
      <w:pPr>
        <w:pStyle w:val="Default"/>
        <w:jc w:val="both"/>
        <w:rPr>
          <w:rFonts w:ascii="Bahnschrift Light" w:hAnsi="Bahnschrift Light"/>
        </w:rPr>
      </w:pPr>
      <w:bookmarkStart w:id="27" w:name="_Hlk182475822"/>
      <w:r w:rsidRPr="004B6B00">
        <w:rPr>
          <w:rFonts w:ascii="Bahnschrift Light" w:hAnsi="Bahnschrift Light"/>
        </w:rPr>
        <w:t>a) opierać się na bezstronnej ocenie jakościowej dokonywanej przez ekspertów, wspieranej przez odpowiedzialne stosowanie wskaźników ilościowych;</w:t>
      </w:r>
    </w:p>
    <w:p w14:paraId="508CBC4D" w14:textId="4EEDB2B6" w:rsidR="00AD4CC1" w:rsidRPr="004B6B00" w:rsidRDefault="00AD4CC1" w:rsidP="00C8462E">
      <w:pPr>
        <w:pStyle w:val="Default"/>
        <w:jc w:val="both"/>
        <w:rPr>
          <w:rFonts w:ascii="Bahnschrift Light" w:hAnsi="Bahnschrift Light"/>
        </w:rPr>
      </w:pPr>
      <w:r w:rsidRPr="004B6B00">
        <w:rPr>
          <w:rFonts w:ascii="Bahnschrift Light" w:hAnsi="Bahnschrift Light"/>
        </w:rPr>
        <w:t xml:space="preserve">b) </w:t>
      </w:r>
      <w:r w:rsidR="00A97221" w:rsidRPr="00A97221">
        <w:rPr>
          <w:rFonts w:ascii="Bahnschrift Light" w:hAnsi="Bahnschrift Light"/>
        </w:rPr>
        <w:t>premiować jakość badań oraz ich wpływ na społeczeństwo, naukę i innowacje</w:t>
      </w:r>
      <w:r w:rsidRPr="004B6B00">
        <w:rPr>
          <w:rFonts w:ascii="Bahnschrift Light" w:hAnsi="Bahnschrift Light"/>
        </w:rPr>
        <w:t>;</w:t>
      </w:r>
    </w:p>
    <w:p w14:paraId="2B01C92C" w14:textId="070915CA" w:rsidR="00AD4CC1" w:rsidRPr="004B6B00" w:rsidRDefault="00AD4CC1" w:rsidP="00C8462E">
      <w:pPr>
        <w:pStyle w:val="Default"/>
        <w:jc w:val="both"/>
        <w:rPr>
          <w:rFonts w:ascii="Bahnschrift Light" w:hAnsi="Bahnschrift Light"/>
        </w:rPr>
      </w:pPr>
      <w:r w:rsidRPr="004B6B00">
        <w:rPr>
          <w:rFonts w:ascii="Bahnschrift Light" w:hAnsi="Bahnschrift Light"/>
        </w:rPr>
        <w:t xml:space="preserve">c) </w:t>
      </w:r>
      <w:r w:rsidR="00A97221" w:rsidRPr="00A97221">
        <w:rPr>
          <w:rFonts w:ascii="Bahnschrift Light" w:hAnsi="Bahnschrift Light"/>
        </w:rPr>
        <w:t>uznawać różnorodność produktów i działań badawczych, takich jak publikacje, patenty, metodyki, mentoring, zarządzanie danymi, współpraca z przemysłem, nauczanie, komunikacja naukowa oraz otwarte praktyki;</w:t>
      </w:r>
      <w:r w:rsidR="00A97221">
        <w:rPr>
          <w:rFonts w:ascii="Bahnschrift Light" w:hAnsi="Bahnschrift Light"/>
        </w:rPr>
        <w:t xml:space="preserve"> d</w:t>
      </w:r>
      <w:r w:rsidRPr="004B6B00">
        <w:rPr>
          <w:rFonts w:ascii="Bahnschrift Light" w:hAnsi="Bahnschrift Light"/>
        </w:rPr>
        <w:t>oświadcze</w:t>
      </w:r>
      <w:r w:rsidR="00A97221">
        <w:rPr>
          <w:rFonts w:ascii="Bahnschrift Light" w:hAnsi="Bahnschrift Light"/>
        </w:rPr>
        <w:t xml:space="preserve">nia </w:t>
      </w:r>
      <w:r w:rsidR="00A97221" w:rsidRPr="004B6B00">
        <w:rPr>
          <w:rFonts w:ascii="Bahnschrift Light" w:hAnsi="Bahnschrift Light"/>
        </w:rPr>
        <w:t>związan</w:t>
      </w:r>
      <w:r w:rsidR="00A97221">
        <w:rPr>
          <w:rFonts w:ascii="Bahnschrift Light" w:hAnsi="Bahnschrift Light"/>
        </w:rPr>
        <w:t>e</w:t>
      </w:r>
      <w:r w:rsidR="00A97221" w:rsidRPr="004B6B00">
        <w:rPr>
          <w:rFonts w:ascii="Bahnschrift Light" w:hAnsi="Bahnschrift Light"/>
        </w:rPr>
        <w:t xml:space="preserve"> </w:t>
      </w:r>
      <w:r w:rsidRPr="004B6B00">
        <w:rPr>
          <w:rFonts w:ascii="Bahnschrift Light" w:hAnsi="Bahnschrift Light"/>
        </w:rPr>
        <w:t xml:space="preserve">z mobilnością; </w:t>
      </w:r>
    </w:p>
    <w:p w14:paraId="60DCADAD" w14:textId="18F6304F" w:rsidR="00AD4CC1" w:rsidRPr="004B6B00" w:rsidRDefault="00AD4CC1" w:rsidP="00C8462E">
      <w:pPr>
        <w:pStyle w:val="Default"/>
        <w:jc w:val="both"/>
        <w:rPr>
          <w:rFonts w:ascii="Bahnschrift Light" w:hAnsi="Bahnschrift Light"/>
        </w:rPr>
      </w:pPr>
      <w:r w:rsidRPr="004B6B00">
        <w:rPr>
          <w:rFonts w:ascii="Bahnschrift Light" w:hAnsi="Bahnschrift Light"/>
        </w:rPr>
        <w:t xml:space="preserve">d) </w:t>
      </w:r>
      <w:r w:rsidR="00A97221">
        <w:rPr>
          <w:rFonts w:ascii="Bahnschrift Light" w:hAnsi="Bahnschrift Light"/>
        </w:rPr>
        <w:t>zapewniać</w:t>
      </w:r>
      <w:r w:rsidRPr="004B6B00">
        <w:rPr>
          <w:rFonts w:ascii="Bahnschrift Light" w:hAnsi="Bahnschrift Light"/>
        </w:rPr>
        <w:t xml:space="preserve">, aby działalność naukowca spełniała wysokie standardy etyki i rzetelności, </w:t>
      </w:r>
      <w:r w:rsidR="00A97221">
        <w:rPr>
          <w:rFonts w:ascii="Bahnschrift Light" w:hAnsi="Bahnschrift Light"/>
        </w:rPr>
        <w:t>w tym promowanie</w:t>
      </w:r>
      <w:r w:rsidRPr="004B6B00">
        <w:rPr>
          <w:rFonts w:ascii="Bahnschrift Light" w:hAnsi="Bahnschrift Light"/>
        </w:rPr>
        <w:t xml:space="preserve"> </w:t>
      </w:r>
      <w:r w:rsidR="00A97221" w:rsidRPr="004B6B00">
        <w:rPr>
          <w:rFonts w:ascii="Bahnschrift Light" w:hAnsi="Bahnschrift Light"/>
        </w:rPr>
        <w:t>dobr</w:t>
      </w:r>
      <w:r w:rsidR="00A97221">
        <w:rPr>
          <w:rFonts w:ascii="Bahnschrift Light" w:hAnsi="Bahnschrift Light"/>
        </w:rPr>
        <w:t>ych</w:t>
      </w:r>
      <w:r w:rsidR="00A97221" w:rsidRPr="004B6B00">
        <w:rPr>
          <w:rFonts w:ascii="Bahnschrift Light" w:hAnsi="Bahnschrift Light"/>
        </w:rPr>
        <w:t xml:space="preserve"> </w:t>
      </w:r>
      <w:r w:rsidRPr="004B6B00">
        <w:rPr>
          <w:rFonts w:ascii="Bahnschrift Light" w:hAnsi="Bahnschrift Light"/>
        </w:rPr>
        <w:t>praktyk</w:t>
      </w:r>
      <w:r w:rsidR="00A97221">
        <w:rPr>
          <w:rFonts w:ascii="Bahnschrift Light" w:hAnsi="Bahnschrift Light"/>
        </w:rPr>
        <w:t xml:space="preserve"> i</w:t>
      </w:r>
      <w:r w:rsidRPr="004B6B00">
        <w:rPr>
          <w:rFonts w:ascii="Bahnschrift Light" w:hAnsi="Bahnschrift Light"/>
        </w:rPr>
        <w:t xml:space="preserve"> otwart</w:t>
      </w:r>
      <w:r w:rsidR="00A97221">
        <w:rPr>
          <w:rFonts w:ascii="Bahnschrift Light" w:hAnsi="Bahnschrift Light"/>
        </w:rPr>
        <w:t>ych</w:t>
      </w:r>
      <w:r w:rsidRPr="004B6B00">
        <w:rPr>
          <w:rFonts w:ascii="Bahnschrift Light" w:hAnsi="Bahnschrift Light"/>
        </w:rPr>
        <w:t xml:space="preserve"> praktyk w zakresie udostępniania wyników badań; </w:t>
      </w:r>
    </w:p>
    <w:p w14:paraId="4838D69B" w14:textId="77777777" w:rsidR="00AD4CC1" w:rsidRPr="004B6B00" w:rsidRDefault="00AD4CC1" w:rsidP="00C8462E">
      <w:pPr>
        <w:pStyle w:val="Default"/>
        <w:jc w:val="both"/>
        <w:rPr>
          <w:rFonts w:ascii="Bahnschrift Light" w:hAnsi="Bahnschrift Light"/>
        </w:rPr>
      </w:pPr>
      <w:r w:rsidRPr="004B6B00">
        <w:rPr>
          <w:rFonts w:ascii="Bahnschrift Light" w:hAnsi="Bahnschrift Light"/>
        </w:rPr>
        <w:t xml:space="preserve">e) obejmować stosowanie kryteriów i procesów oceny, w ramach których respektuje się różnorodność dyscyplin badawczych i kontekstów krajowych; </w:t>
      </w:r>
    </w:p>
    <w:p w14:paraId="0676C8C9" w14:textId="61BA1005" w:rsidR="00AD4CC1" w:rsidRPr="004B6B00" w:rsidRDefault="00AD4CC1" w:rsidP="00C8462E">
      <w:pPr>
        <w:pStyle w:val="Default"/>
        <w:jc w:val="both"/>
        <w:rPr>
          <w:rFonts w:ascii="Bahnschrift Light" w:hAnsi="Bahnschrift Light"/>
        </w:rPr>
      </w:pPr>
      <w:r w:rsidRPr="004B6B00">
        <w:rPr>
          <w:rFonts w:ascii="Bahnschrift Light" w:hAnsi="Bahnschrift Light"/>
        </w:rPr>
        <w:t xml:space="preserve">f) </w:t>
      </w:r>
      <w:r w:rsidR="00865B87">
        <w:rPr>
          <w:rFonts w:ascii="Bahnschrift Light" w:hAnsi="Bahnschrift Light"/>
        </w:rPr>
        <w:t>wspierać</w:t>
      </w:r>
      <w:r w:rsidRPr="004B6B00">
        <w:rPr>
          <w:rFonts w:ascii="Bahnschrift Light" w:hAnsi="Bahnschrift Light"/>
        </w:rPr>
        <w:t xml:space="preserve"> </w:t>
      </w:r>
      <w:r w:rsidR="00865B87" w:rsidRPr="004B6B00">
        <w:rPr>
          <w:rFonts w:ascii="Bahnschrift Light" w:hAnsi="Bahnschrift Light"/>
        </w:rPr>
        <w:t>różnorodnoś</w:t>
      </w:r>
      <w:r w:rsidR="00865B87">
        <w:rPr>
          <w:rFonts w:ascii="Bahnschrift Light" w:hAnsi="Bahnschrift Light"/>
        </w:rPr>
        <w:t>ć</w:t>
      </w:r>
      <w:r w:rsidR="00865B87" w:rsidRPr="004B6B00">
        <w:rPr>
          <w:rFonts w:ascii="Bahnschrift Light" w:hAnsi="Bahnschrift Light"/>
        </w:rPr>
        <w:t xml:space="preserve"> </w:t>
      </w:r>
      <w:r w:rsidRPr="004B6B00">
        <w:rPr>
          <w:rFonts w:ascii="Bahnschrift Light" w:hAnsi="Bahnschrift Light"/>
        </w:rPr>
        <w:t xml:space="preserve">profili i ścieżek kariery naukowców </w:t>
      </w:r>
      <w:r w:rsidR="00865B87">
        <w:rPr>
          <w:rFonts w:ascii="Bahnschrift Light" w:hAnsi="Bahnschrift Light"/>
        </w:rPr>
        <w:t>doceniając zarówno</w:t>
      </w:r>
      <w:r w:rsidRPr="004B6B00">
        <w:rPr>
          <w:rFonts w:ascii="Bahnschrift Light" w:hAnsi="Bahnschrift Light"/>
        </w:rPr>
        <w:t xml:space="preserve"> wkład</w:t>
      </w:r>
      <w:r w:rsidR="00865B87" w:rsidRPr="00865B87">
        <w:rPr>
          <w:rFonts w:ascii="Bahnschrift Light" w:hAnsi="Bahnschrift Light"/>
        </w:rPr>
        <w:t xml:space="preserve"> </w:t>
      </w:r>
      <w:r w:rsidR="00865B87" w:rsidRPr="004B6B00">
        <w:rPr>
          <w:rFonts w:ascii="Bahnschrift Light" w:hAnsi="Bahnschrift Light"/>
        </w:rPr>
        <w:t>indywidualn</w:t>
      </w:r>
      <w:r w:rsidR="00865B87">
        <w:rPr>
          <w:rFonts w:ascii="Bahnschrift Light" w:hAnsi="Bahnschrift Light"/>
        </w:rPr>
        <w:t>y</w:t>
      </w:r>
      <w:r w:rsidRPr="004B6B00">
        <w:rPr>
          <w:rFonts w:ascii="Bahnschrift Light" w:hAnsi="Bahnschrift Light"/>
        </w:rPr>
        <w:t xml:space="preserve">, </w:t>
      </w:r>
      <w:r w:rsidR="00865B87">
        <w:rPr>
          <w:rFonts w:ascii="Bahnschrift Light" w:hAnsi="Bahnschrift Light"/>
        </w:rPr>
        <w:t>jak i</w:t>
      </w:r>
      <w:r w:rsidRPr="004B6B00">
        <w:rPr>
          <w:rFonts w:ascii="Bahnschrift Light" w:hAnsi="Bahnschrift Light"/>
        </w:rPr>
        <w:t xml:space="preserve"> </w:t>
      </w:r>
      <w:r w:rsidR="00865B87" w:rsidRPr="004B6B00">
        <w:rPr>
          <w:rFonts w:ascii="Bahnschrift Light" w:hAnsi="Bahnschrift Light"/>
        </w:rPr>
        <w:t>rol</w:t>
      </w:r>
      <w:r w:rsidR="00865B87">
        <w:rPr>
          <w:rFonts w:ascii="Bahnschrift Light" w:hAnsi="Bahnschrift Light"/>
        </w:rPr>
        <w:t>ę</w:t>
      </w:r>
      <w:r w:rsidRPr="004B6B00">
        <w:rPr>
          <w:rFonts w:ascii="Bahnschrift Light" w:hAnsi="Bahnschrift Light"/>
        </w:rPr>
        <w:t xml:space="preserve"> współpracy i interdyscyplinarności;</w:t>
      </w:r>
    </w:p>
    <w:p w14:paraId="4DD475EC" w14:textId="3A056BAE" w:rsidR="00A97221" w:rsidRPr="00A97221" w:rsidRDefault="00AD4CC1" w:rsidP="00865B87">
      <w:pPr>
        <w:pStyle w:val="Default"/>
        <w:jc w:val="both"/>
        <w:rPr>
          <w:rFonts w:ascii="Bahnschrift Light" w:hAnsi="Bahnschrift Light"/>
        </w:rPr>
      </w:pPr>
      <w:r w:rsidRPr="004B6B00">
        <w:rPr>
          <w:rFonts w:ascii="Bahnschrift Light" w:hAnsi="Bahnschrift Light"/>
        </w:rPr>
        <w:t xml:space="preserve">g) </w:t>
      </w:r>
      <w:r w:rsidR="00865B87" w:rsidRPr="00A97221">
        <w:rPr>
          <w:rFonts w:ascii="Bahnschrift Light" w:hAnsi="Bahnschrift Light"/>
        </w:rPr>
        <w:t>zapewniać równowagę i równouprawnienie płci, równe szanse i inkluzyjność.</w:t>
      </w:r>
      <w:r w:rsidR="00A97221" w:rsidRPr="00A97221">
        <w:rPr>
          <w:rFonts w:ascii="Bahnschrift Light" w:hAnsi="Bahnschrift Light"/>
        </w:rPr>
        <w:t xml:space="preserve"> </w:t>
      </w:r>
    </w:p>
    <w:p w14:paraId="6ABCBB32" w14:textId="77777777" w:rsidR="00A97221" w:rsidRPr="00A97221" w:rsidRDefault="00A97221" w:rsidP="00A97221">
      <w:pPr>
        <w:pStyle w:val="Default"/>
        <w:jc w:val="both"/>
        <w:rPr>
          <w:rFonts w:ascii="Bahnschrift Light" w:hAnsi="Bahnschrift Light"/>
        </w:rPr>
      </w:pPr>
    </w:p>
    <w:p w14:paraId="2C7B07AC" w14:textId="65664C8C" w:rsidR="00A97221" w:rsidRDefault="00A97221" w:rsidP="00A97221">
      <w:pPr>
        <w:pStyle w:val="Default"/>
        <w:jc w:val="both"/>
        <w:rPr>
          <w:rFonts w:ascii="Bahnschrift Light" w:hAnsi="Bahnschrift Light"/>
        </w:rPr>
      </w:pPr>
      <w:r w:rsidRPr="00A97221">
        <w:rPr>
          <w:rFonts w:ascii="Bahnschrift Light" w:hAnsi="Bahnschrift Light"/>
        </w:rPr>
        <w:t xml:space="preserve">Aby zapewnić skuteczne wdrażanie tych zasad, pracodawcy i </w:t>
      </w:r>
      <w:proofErr w:type="spellStart"/>
      <w:r w:rsidRPr="00A97221">
        <w:rPr>
          <w:rFonts w:ascii="Bahnschrift Light" w:hAnsi="Bahnschrift Light"/>
        </w:rPr>
        <w:t>grantodawcy</w:t>
      </w:r>
      <w:proofErr w:type="spellEnd"/>
      <w:r w:rsidRPr="00A97221">
        <w:rPr>
          <w:rFonts w:ascii="Bahnschrift Light" w:hAnsi="Bahnschrift Light"/>
        </w:rPr>
        <w:t xml:space="preserve"> powinni wspierać ustawiczne szkolenie osób zaangażowanych w proces oceny i premiowania.</w:t>
      </w:r>
    </w:p>
    <w:p w14:paraId="28D732B1" w14:textId="286C6C18" w:rsidR="00A97221" w:rsidRDefault="00A97221" w:rsidP="00C8462E">
      <w:pPr>
        <w:pStyle w:val="Default"/>
        <w:jc w:val="both"/>
        <w:rPr>
          <w:rFonts w:ascii="Bahnschrift Light" w:hAnsi="Bahnschrift Light"/>
        </w:rPr>
      </w:pPr>
    </w:p>
    <w:p w14:paraId="49B5616F" w14:textId="77777777" w:rsidR="00A97221" w:rsidRPr="004B6B00" w:rsidRDefault="00A97221" w:rsidP="00C8462E">
      <w:pPr>
        <w:pStyle w:val="Default"/>
        <w:jc w:val="both"/>
        <w:rPr>
          <w:rFonts w:ascii="Bahnschrift Light" w:hAnsi="Bahnschrift Light"/>
        </w:rPr>
      </w:pPr>
    </w:p>
    <w:p w14:paraId="47007A02" w14:textId="16010323" w:rsidR="006F44A2" w:rsidRDefault="006F44A2" w:rsidP="006C0A84">
      <w:pPr>
        <w:pStyle w:val="Nagwek2"/>
        <w:numPr>
          <w:ilvl w:val="1"/>
          <w:numId w:val="8"/>
        </w:numPr>
      </w:pPr>
      <w:bookmarkStart w:id="28" w:name="_Toc189226054"/>
      <w:bookmarkEnd w:id="27"/>
      <w:r w:rsidRPr="004B6B00">
        <w:t>Rekrutacja</w:t>
      </w:r>
      <w:bookmarkEnd w:id="28"/>
      <w:r w:rsidRPr="004B6B00">
        <w:t xml:space="preserve"> </w:t>
      </w:r>
    </w:p>
    <w:p w14:paraId="3FE2247F" w14:textId="77777777" w:rsidR="001003A9" w:rsidRPr="001003A9" w:rsidRDefault="001003A9" w:rsidP="001003A9"/>
    <w:p w14:paraId="707B53DE" w14:textId="36952A8F" w:rsidR="00981ECD" w:rsidRPr="004B6B00" w:rsidRDefault="00AD4CC1" w:rsidP="00C8462E">
      <w:pPr>
        <w:pStyle w:val="Default"/>
        <w:jc w:val="both"/>
        <w:rPr>
          <w:rFonts w:ascii="Bahnschrift Light" w:hAnsi="Bahnschrift Light"/>
        </w:rPr>
      </w:pPr>
      <w:r w:rsidRPr="004B6B00">
        <w:rPr>
          <w:rFonts w:ascii="Bahnschrift Light" w:hAnsi="Bahnschrift Light"/>
        </w:rPr>
        <w:t xml:space="preserve">Zgodnie z zasadami wolności akademickiej i autonomii instytucjonalnej pracodawcy i podmioty finansujące </w:t>
      </w:r>
      <w:r w:rsidR="00865B87">
        <w:rPr>
          <w:rFonts w:ascii="Bahnschrift Light" w:hAnsi="Bahnschrift Light"/>
        </w:rPr>
        <w:t xml:space="preserve">powinny </w:t>
      </w:r>
      <w:r w:rsidR="00865B87" w:rsidRPr="004B6B00">
        <w:rPr>
          <w:rFonts w:ascii="Bahnschrift Light" w:hAnsi="Bahnschrift Light"/>
        </w:rPr>
        <w:t>ustanowi</w:t>
      </w:r>
      <w:r w:rsidR="00865B87">
        <w:rPr>
          <w:rFonts w:ascii="Bahnschrift Light" w:hAnsi="Bahnschrift Light"/>
        </w:rPr>
        <w:t>ć</w:t>
      </w:r>
      <w:r w:rsidR="00865B87" w:rsidRPr="004B6B00">
        <w:rPr>
          <w:rFonts w:ascii="Bahnschrift Light" w:hAnsi="Bahnschrift Light"/>
        </w:rPr>
        <w:t xml:space="preserve"> </w:t>
      </w:r>
      <w:r w:rsidRPr="004B6B00">
        <w:rPr>
          <w:rFonts w:ascii="Bahnschrift Light" w:hAnsi="Bahnschrift Light"/>
        </w:rPr>
        <w:t xml:space="preserve">otwarte, przejrzyste i oparte na osiągnięciach procedury rekrutacyjne, bez karania za przerwy w karierze zawodowej lub nielinearne, wielopoziomowe i hybrydowe ścieżki kariery. </w:t>
      </w:r>
      <w:r w:rsidR="00865B87" w:rsidRPr="00865B87">
        <w:rPr>
          <w:rFonts w:ascii="Bahnschrift Light" w:hAnsi="Bahnschrift Light"/>
        </w:rPr>
        <w:t>Procedury te powinny promować doskonałość, równouprawnienie płci i różnorodność, a także być dostosowane do specyfiki stanowiska, które</w:t>
      </w:r>
      <w:r w:rsidR="00865B87">
        <w:rPr>
          <w:rFonts w:ascii="Bahnschrift Light" w:hAnsi="Bahnschrift Light"/>
        </w:rPr>
        <w:t>go</w:t>
      </w:r>
      <w:r w:rsidR="00865B87" w:rsidRPr="00865B87">
        <w:rPr>
          <w:rFonts w:ascii="Bahnschrift Light" w:hAnsi="Bahnschrift Light"/>
        </w:rPr>
        <w:t xml:space="preserve"> dotyczy ogłoszenie. </w:t>
      </w:r>
      <w:r w:rsidRPr="004B6B00">
        <w:rPr>
          <w:rFonts w:ascii="Bahnschrift Light" w:hAnsi="Bahnschrift Light"/>
        </w:rPr>
        <w:t xml:space="preserve">Ogłoszenia powinny zawierać </w:t>
      </w:r>
      <w:r w:rsidR="00865B87">
        <w:rPr>
          <w:rFonts w:ascii="Bahnschrift Light" w:hAnsi="Bahnschrift Light"/>
        </w:rPr>
        <w:t>szczegółowy</w:t>
      </w:r>
      <w:r w:rsidR="00865B87" w:rsidRPr="004B6B00">
        <w:rPr>
          <w:rFonts w:ascii="Bahnschrift Light" w:hAnsi="Bahnschrift Light"/>
        </w:rPr>
        <w:t xml:space="preserve"> </w:t>
      </w:r>
      <w:r w:rsidRPr="004B6B00">
        <w:rPr>
          <w:rFonts w:ascii="Bahnschrift Light" w:hAnsi="Bahnschrift Light"/>
        </w:rPr>
        <w:t>opis wymaganej wiedzy</w:t>
      </w:r>
      <w:r w:rsidR="00865B87">
        <w:rPr>
          <w:rFonts w:ascii="Bahnschrift Light" w:hAnsi="Bahnschrift Light"/>
        </w:rPr>
        <w:t>,</w:t>
      </w:r>
      <w:r w:rsidRPr="004B6B00">
        <w:rPr>
          <w:rFonts w:ascii="Bahnschrift Light" w:hAnsi="Bahnschrift Light"/>
        </w:rPr>
        <w:t xml:space="preserve"> kompetencji</w:t>
      </w:r>
      <w:r w:rsidR="00865B87">
        <w:rPr>
          <w:rFonts w:ascii="Bahnschrift Light" w:hAnsi="Bahnschrift Light"/>
        </w:rPr>
        <w:t>,</w:t>
      </w:r>
      <w:r w:rsidRPr="004B6B00">
        <w:rPr>
          <w:rFonts w:ascii="Bahnschrift Light" w:hAnsi="Bahnschrift Light"/>
        </w:rPr>
        <w:t xml:space="preserve"> warunków pracy</w:t>
      </w:r>
      <w:r w:rsidR="00865B87">
        <w:rPr>
          <w:rFonts w:ascii="Bahnschrift Light" w:hAnsi="Bahnschrift Light"/>
        </w:rPr>
        <w:t>,</w:t>
      </w:r>
      <w:r w:rsidRPr="004B6B00">
        <w:rPr>
          <w:rFonts w:ascii="Bahnschrift Light" w:hAnsi="Bahnschrift Light"/>
        </w:rPr>
        <w:t xml:space="preserve"> uprawnień</w:t>
      </w:r>
      <w:r w:rsidR="00865B87">
        <w:rPr>
          <w:rFonts w:ascii="Bahnschrift Light" w:hAnsi="Bahnschrift Light"/>
        </w:rPr>
        <w:t xml:space="preserve"> i</w:t>
      </w:r>
      <w:r w:rsidR="00865B87" w:rsidRPr="004B6B00">
        <w:rPr>
          <w:rFonts w:ascii="Bahnschrift Light" w:hAnsi="Bahnschrift Light"/>
        </w:rPr>
        <w:t xml:space="preserve"> </w:t>
      </w:r>
      <w:r w:rsidRPr="004B6B00">
        <w:rPr>
          <w:rFonts w:ascii="Bahnschrift Light" w:hAnsi="Bahnschrift Light"/>
        </w:rPr>
        <w:t xml:space="preserve">perspektyw rozwoju zawodowego. </w:t>
      </w:r>
      <w:r w:rsidR="00865B87" w:rsidRPr="00865B87">
        <w:rPr>
          <w:rFonts w:ascii="Bahnschrift Light" w:hAnsi="Bahnschrift Light"/>
        </w:rPr>
        <w:t xml:space="preserve">Kandydaci powinni być </w:t>
      </w:r>
      <w:r w:rsidR="00865B87">
        <w:rPr>
          <w:rFonts w:ascii="Bahnschrift Light" w:hAnsi="Bahnschrift Light"/>
        </w:rPr>
        <w:t>po</w:t>
      </w:r>
      <w:r w:rsidR="00865B87" w:rsidRPr="00865B87">
        <w:rPr>
          <w:rFonts w:ascii="Bahnschrift Light" w:hAnsi="Bahnschrift Light"/>
        </w:rPr>
        <w:t xml:space="preserve">informowani o procesie rekrutacyjnym, kryteriach wyboru, dostępnych stanowiskach oraz perspektywach rozwoju zawodowego. Członkowie komisji rekrutacyjnej powinni być odpowiednio </w:t>
      </w:r>
      <w:r w:rsidR="00865B87">
        <w:rPr>
          <w:rFonts w:ascii="Bahnschrift Light" w:hAnsi="Bahnschrift Light"/>
        </w:rPr>
        <w:t>prze</w:t>
      </w:r>
      <w:r w:rsidR="00865B87" w:rsidRPr="00865B87">
        <w:rPr>
          <w:rFonts w:ascii="Bahnschrift Light" w:hAnsi="Bahnschrift Light"/>
        </w:rPr>
        <w:t>szkoleni w zakresie uczciwych zasad rekrutacji.</w:t>
      </w:r>
      <w:r w:rsidRPr="004B6B00">
        <w:rPr>
          <w:rFonts w:ascii="Bahnschrift Light" w:hAnsi="Bahnschrift Light"/>
        </w:rPr>
        <w:t xml:space="preserve"> </w:t>
      </w:r>
    </w:p>
    <w:p w14:paraId="2088FA77" w14:textId="77777777" w:rsidR="00981ECD" w:rsidRPr="004B6B00" w:rsidRDefault="00981ECD" w:rsidP="00C8462E">
      <w:pPr>
        <w:pStyle w:val="Default"/>
        <w:jc w:val="both"/>
        <w:rPr>
          <w:rFonts w:ascii="Bahnschrift Light" w:hAnsi="Bahnschrift Light"/>
        </w:rPr>
      </w:pPr>
    </w:p>
    <w:p w14:paraId="0FAD601E" w14:textId="464D5A2B" w:rsidR="00981ECD" w:rsidRPr="004B6B00" w:rsidRDefault="00AD4CC1" w:rsidP="00C8462E">
      <w:pPr>
        <w:pStyle w:val="Default"/>
        <w:jc w:val="both"/>
        <w:rPr>
          <w:rFonts w:ascii="Bahnschrift Light" w:hAnsi="Bahnschrift Light"/>
        </w:rPr>
      </w:pPr>
      <w:r w:rsidRPr="004B6B00">
        <w:rPr>
          <w:rFonts w:ascii="Bahnschrift Light" w:hAnsi="Bahnschrift Light"/>
        </w:rPr>
        <w:t xml:space="preserve">Odstępstwa od porządku chronologicznego życiorysów </w:t>
      </w:r>
    </w:p>
    <w:p w14:paraId="27258915" w14:textId="3C3FCABC" w:rsidR="00AD4CC1" w:rsidRPr="004B6B00" w:rsidRDefault="00865B87" w:rsidP="00C8462E">
      <w:pPr>
        <w:pStyle w:val="Default"/>
        <w:jc w:val="both"/>
        <w:rPr>
          <w:rFonts w:ascii="Bahnschrift Light" w:hAnsi="Bahnschrift Light"/>
        </w:rPr>
      </w:pPr>
      <w:r w:rsidRPr="00865B87">
        <w:rPr>
          <w:rFonts w:ascii="Bahnschrift Light" w:hAnsi="Bahnschrift Light"/>
        </w:rPr>
        <w:t xml:space="preserve">Przerwy w karierze lub odstępstwa od porządku chronologicznego w życiorysach nie powinny być traktowane jako przeszkoda, lecz jako naturalna ewolucja kariery, mogąca stanowić cenny wkład w rozwój zawodowy, szczególnie w przypadku osób podążających wielowymiarową ścieżką kariery. </w:t>
      </w:r>
      <w:r w:rsidR="00AD4CC1" w:rsidRPr="004B6B00">
        <w:rPr>
          <w:rFonts w:ascii="Bahnschrift Light" w:hAnsi="Bahnschrift Light"/>
        </w:rPr>
        <w:t xml:space="preserve">Z tego względu należy umożliwić kandydatom składanie życiorysów wspartych dowodami, </w:t>
      </w:r>
      <w:r>
        <w:rPr>
          <w:rFonts w:ascii="Bahnschrift Light" w:hAnsi="Bahnschrift Light"/>
        </w:rPr>
        <w:t>odzwierciedlającymi</w:t>
      </w:r>
      <w:r w:rsidR="00AD4CC1" w:rsidRPr="004B6B00">
        <w:rPr>
          <w:rFonts w:ascii="Bahnschrift Light" w:hAnsi="Bahnschrift Light"/>
        </w:rPr>
        <w:t xml:space="preserve"> reprezentatywną gamę osiągnięć i kwalifikacji mających znaczenie w kontekście stanowiska, o które się ubiegają.</w:t>
      </w:r>
    </w:p>
    <w:p w14:paraId="4E0514D5" w14:textId="77777777" w:rsidR="00981ECD" w:rsidRPr="004B6B00" w:rsidRDefault="00AD4CC1" w:rsidP="00C8462E">
      <w:pPr>
        <w:pStyle w:val="Default"/>
        <w:jc w:val="both"/>
        <w:rPr>
          <w:rFonts w:ascii="Bahnschrift Light" w:hAnsi="Bahnschrift Light"/>
        </w:rPr>
      </w:pPr>
      <w:r w:rsidRPr="004B6B00">
        <w:rPr>
          <w:rFonts w:ascii="Bahnschrift Light" w:hAnsi="Bahnschrift Light"/>
        </w:rPr>
        <w:t xml:space="preserve">Staż pracy </w:t>
      </w:r>
    </w:p>
    <w:p w14:paraId="18F73F3C" w14:textId="2C7693FE" w:rsidR="00865B87" w:rsidRPr="004B6B00" w:rsidRDefault="00AD4CC1">
      <w:pPr>
        <w:pStyle w:val="Default"/>
        <w:jc w:val="both"/>
        <w:rPr>
          <w:rFonts w:ascii="Bahnschrift Light" w:hAnsi="Bahnschrift Light"/>
        </w:rPr>
      </w:pPr>
      <w:r w:rsidRPr="004B6B00">
        <w:rPr>
          <w:rFonts w:ascii="Bahnschrift Light" w:hAnsi="Bahnschrift Light"/>
        </w:rPr>
        <w:lastRenderedPageBreak/>
        <w:t xml:space="preserve">Wymagany poziom kwalifikacji powinien odpowiadać potrzebom stanowiska i nie powinien stanowić bariery w przyjęciu do pracy. </w:t>
      </w:r>
      <w:r w:rsidR="00E404BA" w:rsidRPr="00865B87">
        <w:rPr>
          <w:rFonts w:ascii="Bahnschrift Light" w:hAnsi="Bahnschrift Light"/>
        </w:rPr>
        <w:t>Podczas oceny kandydatów należy koncentrować się na ich osiągnięciach, a nie na instytucji, w której uzyskali kwalifikacje. Należy doceniać rozwój zawodowy, który może odbywać się przez całe życie, uznając również osiągnięcia zdobyte na wczesnym etapie kariery naukowej.</w:t>
      </w:r>
      <w:r w:rsidR="00865B87" w:rsidRPr="00865B87">
        <w:rPr>
          <w:rFonts w:ascii="Bahnschrift Light" w:hAnsi="Bahnschrift Light"/>
        </w:rPr>
        <w:t xml:space="preserve"> </w:t>
      </w:r>
    </w:p>
    <w:p w14:paraId="0C8D6551" w14:textId="77777777" w:rsidR="00C6563B" w:rsidRPr="004B6B00" w:rsidRDefault="00C6563B" w:rsidP="00C8462E">
      <w:pPr>
        <w:pStyle w:val="Default"/>
        <w:jc w:val="both"/>
        <w:rPr>
          <w:rFonts w:ascii="Bahnschrift Light" w:hAnsi="Bahnschrift Light"/>
        </w:rPr>
      </w:pPr>
    </w:p>
    <w:p w14:paraId="019D68C0" w14:textId="02139AA4" w:rsidR="006F44A2" w:rsidRPr="004B6B00" w:rsidRDefault="006F44A2" w:rsidP="006C0A84">
      <w:pPr>
        <w:pStyle w:val="Nagwek2"/>
        <w:numPr>
          <w:ilvl w:val="1"/>
          <w:numId w:val="8"/>
        </w:numPr>
      </w:pPr>
      <w:bookmarkStart w:id="29" w:name="_Toc189226055"/>
      <w:r w:rsidRPr="004B6B00">
        <w:t>Dobór kadr</w:t>
      </w:r>
      <w:bookmarkEnd w:id="29"/>
      <w:r w:rsidRPr="004B6B00">
        <w:t xml:space="preserve"> </w:t>
      </w:r>
    </w:p>
    <w:p w14:paraId="5E7F2709" w14:textId="4F096E84" w:rsidR="004B6B00" w:rsidRDefault="004B6B00" w:rsidP="00C8462E">
      <w:pPr>
        <w:pStyle w:val="Default"/>
        <w:jc w:val="both"/>
        <w:rPr>
          <w:rFonts w:ascii="Bahnschrift Light" w:hAnsi="Bahnschrift Light"/>
        </w:rPr>
      </w:pPr>
    </w:p>
    <w:p w14:paraId="077A445B" w14:textId="3CC04CB4" w:rsidR="00A05CA8" w:rsidRPr="00A05CA8" w:rsidRDefault="00A05CA8" w:rsidP="00A05CA8">
      <w:pPr>
        <w:pStyle w:val="Default"/>
        <w:jc w:val="both"/>
        <w:rPr>
          <w:rFonts w:ascii="Bahnschrift Light" w:hAnsi="Bahnschrift Light"/>
        </w:rPr>
      </w:pPr>
      <w:r w:rsidRPr="00A05CA8">
        <w:rPr>
          <w:rFonts w:ascii="Bahnschrift Light" w:hAnsi="Bahnschrift Light"/>
        </w:rPr>
        <w:t xml:space="preserve">W ramach procesu rekrutacji, przy doborze kandydatów, należy uwzględnić pełen zakres ich doświadczenia zawodowego. Komisje rekrutacyjne powinny charakteryzować się różnorodnością wiedzy specjalistycznej, kompetencji oraz doświadczeń, które są kluczowe dla kompleksowej oceny kandydatów. Ponadto, </w:t>
      </w:r>
      <w:r>
        <w:rPr>
          <w:rFonts w:ascii="Bahnschrift Light" w:hAnsi="Bahnschrift Light"/>
        </w:rPr>
        <w:t>w komisjach należy</w:t>
      </w:r>
      <w:r w:rsidRPr="00A05CA8">
        <w:rPr>
          <w:rFonts w:ascii="Bahnschrift Light" w:hAnsi="Bahnschrift Light"/>
        </w:rPr>
        <w:t xml:space="preserve"> dążyć do zachowania odpowiedniej równowagi płci</w:t>
      </w:r>
      <w:r>
        <w:rPr>
          <w:rFonts w:ascii="Bahnschrift Light" w:hAnsi="Bahnschrift Light"/>
        </w:rPr>
        <w:t>.</w:t>
      </w:r>
    </w:p>
    <w:p w14:paraId="37E1AD86" w14:textId="1E224DBB" w:rsidR="004B6B00" w:rsidRDefault="00A05CA8" w:rsidP="00A05CA8">
      <w:pPr>
        <w:pStyle w:val="Default"/>
        <w:jc w:val="both"/>
        <w:rPr>
          <w:rFonts w:ascii="Bahnschrift Light" w:hAnsi="Bahnschrift Light"/>
        </w:rPr>
      </w:pPr>
      <w:r w:rsidRPr="004B6B00">
        <w:rPr>
          <w:rFonts w:ascii="Bahnschrift Light" w:hAnsi="Bahnschrift Light"/>
        </w:rPr>
        <w:t xml:space="preserve">W miarę możliwości należy stosować szeroką gamę praktyk doboru kandydatów, np. ocenę zewnętrznego eksperta oraz bezpośrednie rozmowy lub rozmowy przez </w:t>
      </w:r>
      <w:proofErr w:type="spellStart"/>
      <w:r w:rsidRPr="004B6B00">
        <w:rPr>
          <w:rFonts w:ascii="Bahnschrift Light" w:hAnsi="Bahnschrift Light"/>
        </w:rPr>
        <w:t>internet</w:t>
      </w:r>
      <w:proofErr w:type="spellEnd"/>
      <w:r w:rsidRPr="004B6B00">
        <w:rPr>
          <w:rFonts w:ascii="Bahnschrift Light" w:hAnsi="Bahnschrift Light"/>
        </w:rPr>
        <w:t xml:space="preserve"> z kandydatem. </w:t>
      </w:r>
      <w:r w:rsidRPr="00A05CA8">
        <w:rPr>
          <w:rFonts w:ascii="Bahnschrift Light" w:hAnsi="Bahnschrift Light"/>
        </w:rPr>
        <w:t>Członkowie komisji rekrutacyjnej powinni przejść odpowiednie szkolenia, zwłaszcza w zakresie minimalizacji uprzedzeń związanych z płcią oraz innych potencjalnych, nieświadomych uprzedzeń.</w:t>
      </w:r>
      <w:r>
        <w:rPr>
          <w:rFonts w:ascii="Bahnschrift Light" w:hAnsi="Bahnschrift Light"/>
        </w:rPr>
        <w:t xml:space="preserve"> </w:t>
      </w:r>
      <w:r w:rsidRPr="00A05CA8">
        <w:rPr>
          <w:rFonts w:ascii="Bahnschrift Light" w:hAnsi="Bahnschrift Light"/>
        </w:rPr>
        <w:t>Po zakończeniu procesu rekrutacji, każdy kandydat powinien otrzymać informację zwrotną dotyczącą mocnych stron oraz obszarów do poprawy w jego aplikacji.</w:t>
      </w:r>
    </w:p>
    <w:p w14:paraId="250CB93B" w14:textId="77777777" w:rsidR="00A05CA8" w:rsidRPr="004B6B00" w:rsidRDefault="00A05CA8" w:rsidP="006C0A84">
      <w:pPr>
        <w:pStyle w:val="Nagwek2"/>
      </w:pPr>
    </w:p>
    <w:p w14:paraId="2EFCF4B8" w14:textId="619F0158" w:rsidR="00AD4CC1" w:rsidRDefault="00AD4CC1" w:rsidP="006C0A84">
      <w:pPr>
        <w:pStyle w:val="Nagwek2"/>
        <w:numPr>
          <w:ilvl w:val="1"/>
          <w:numId w:val="8"/>
        </w:numPr>
      </w:pPr>
      <w:bookmarkStart w:id="30" w:name="_Toc189226056"/>
      <w:r w:rsidRPr="004B6B00">
        <w:t>Niedyskryminacja</w:t>
      </w:r>
      <w:bookmarkEnd w:id="30"/>
      <w:r w:rsidRPr="004B6B00">
        <w:t xml:space="preserve"> </w:t>
      </w:r>
    </w:p>
    <w:p w14:paraId="2C037DE3" w14:textId="77777777" w:rsidR="001003A9" w:rsidRPr="001003A9" w:rsidRDefault="001003A9" w:rsidP="001003A9"/>
    <w:p w14:paraId="3EF87EC9" w14:textId="2F1CDB88" w:rsidR="00C6563B" w:rsidRPr="004B6B00" w:rsidRDefault="00A05CA8" w:rsidP="00C8462E">
      <w:pPr>
        <w:pStyle w:val="Default"/>
        <w:jc w:val="both"/>
        <w:rPr>
          <w:rFonts w:ascii="Bahnschrift Light" w:hAnsi="Bahnschrift Light"/>
        </w:rPr>
      </w:pPr>
      <w:proofErr w:type="spellStart"/>
      <w:r w:rsidRPr="00A05CA8">
        <w:rPr>
          <w:rFonts w:ascii="Bahnschrift Light" w:hAnsi="Bahnschrift Light"/>
        </w:rPr>
        <w:t>Grantodawcy</w:t>
      </w:r>
      <w:proofErr w:type="spellEnd"/>
      <w:r w:rsidRPr="00A05CA8">
        <w:rPr>
          <w:rFonts w:ascii="Bahnschrift Light" w:hAnsi="Bahnschrift Light"/>
        </w:rPr>
        <w:t xml:space="preserve"> oraz pracodawcy powinni zapewnić równość szans i unikać jakiejkolwiek formy dyskryminacji wobec naukowców, niezależnie od ich płci, wieku, pochodzenia etnicznego, narodowego lub społecznego, religii, wyznania, orientacji seksualnej, języka, niepełnosprawności, przekonań politycznych, a także statusu społecznego lub materialnego. Ważne jest, aby w procesach rekrutacyjnych i przy przyznawaniu grantów kierować się zasadami równości i sprawiedliwości, zapewniając uczciwe traktowanie wszystkich kandydatów i uczestników.</w:t>
      </w:r>
    </w:p>
    <w:p w14:paraId="225BFEAC" w14:textId="77777777" w:rsidR="00A05CA8" w:rsidRDefault="00A05CA8" w:rsidP="00895AEE">
      <w:pPr>
        <w:pStyle w:val="Default"/>
        <w:ind w:left="1440"/>
        <w:jc w:val="both"/>
        <w:rPr>
          <w:rFonts w:ascii="Bahnschrift Light" w:hAnsi="Bahnschrift Light"/>
        </w:rPr>
      </w:pPr>
    </w:p>
    <w:p w14:paraId="7C64AF83" w14:textId="1D013D0B" w:rsidR="006F44A2" w:rsidRDefault="00A05CA8" w:rsidP="006C0A84">
      <w:pPr>
        <w:pStyle w:val="Nagwek2"/>
        <w:numPr>
          <w:ilvl w:val="1"/>
          <w:numId w:val="8"/>
        </w:numPr>
      </w:pPr>
      <w:bookmarkStart w:id="31" w:name="_Toc189226057"/>
      <w:r>
        <w:t>Rozwój kariery</w:t>
      </w:r>
      <w:bookmarkEnd w:id="31"/>
    </w:p>
    <w:p w14:paraId="538F7EB9" w14:textId="77777777" w:rsidR="001003A9" w:rsidRPr="001003A9" w:rsidRDefault="001003A9" w:rsidP="001003A9"/>
    <w:p w14:paraId="522BED1E" w14:textId="51E5D798" w:rsidR="00A05CA8" w:rsidRPr="00A05CA8" w:rsidRDefault="00A05CA8" w:rsidP="00A05CA8">
      <w:pPr>
        <w:pStyle w:val="Default"/>
        <w:jc w:val="both"/>
        <w:rPr>
          <w:rFonts w:ascii="Bahnschrift Light" w:hAnsi="Bahnschrift Light"/>
        </w:rPr>
      </w:pPr>
      <w:proofErr w:type="spellStart"/>
      <w:r w:rsidRPr="00A05CA8">
        <w:rPr>
          <w:rFonts w:ascii="Bahnschrift Light" w:hAnsi="Bahnschrift Light"/>
        </w:rPr>
        <w:t>Grantodawcy</w:t>
      </w:r>
      <w:proofErr w:type="spellEnd"/>
      <w:r w:rsidRPr="00A05CA8">
        <w:rPr>
          <w:rFonts w:ascii="Bahnschrift Light" w:hAnsi="Bahnschrift Light"/>
        </w:rPr>
        <w:t xml:space="preserve"> oraz pracodawcy powinni wdrożyć systemy oceny pracowników dla wszystkich naukowców</w:t>
      </w:r>
      <w:r w:rsidR="007E6ED6">
        <w:rPr>
          <w:rFonts w:ascii="Bahnschrift Light" w:hAnsi="Bahnschrift Light"/>
        </w:rPr>
        <w:t>,</w:t>
      </w:r>
      <w:r w:rsidRPr="00A05CA8">
        <w:rPr>
          <w:rFonts w:ascii="Bahnschrift Light" w:hAnsi="Bahnschrift Light"/>
        </w:rPr>
        <w:t xml:space="preserve"> umożliwiające regularną i transparentną ocenę ich wyników. Oceny te powinny być przeprowadzane przez niezależną komisję, a w przypadku </w:t>
      </w:r>
      <w:r w:rsidR="007E6ED6">
        <w:rPr>
          <w:rFonts w:ascii="Bahnschrift Light" w:hAnsi="Bahnschrift Light"/>
        </w:rPr>
        <w:t xml:space="preserve">szczególnie </w:t>
      </w:r>
      <w:proofErr w:type="spellStart"/>
      <w:r w:rsidR="007E6ED6">
        <w:rPr>
          <w:rFonts w:ascii="Bahnschrift Light" w:hAnsi="Bahnschrift Light"/>
        </w:rPr>
        <w:t>uzanaych</w:t>
      </w:r>
      <w:proofErr w:type="spellEnd"/>
      <w:r w:rsidRPr="00A05CA8">
        <w:rPr>
          <w:rFonts w:ascii="Bahnschrift Light" w:hAnsi="Bahnschrift Light"/>
        </w:rPr>
        <w:t xml:space="preserve"> pracowników naukowych zaleca się powołanie komisji międzynarodowej. Należy zapewnić pełne uznanie dla nielinearnych i wielopoziomowych ścieżek kariery, które uwzględniają mobilność geograficzną, sektorową oraz międzyorganizacyjną, jak również dla ścieżek hybrydowych, łączących różne sektory. Tego typu ścieżki kariery powinny być traktowane na równi z tradycyjną, linearną ścieżką kariery, która polega na progresji z jednego stanowiska na drugie, zwykle w tej samej dziedzinie.</w:t>
      </w:r>
    </w:p>
    <w:p w14:paraId="4A15E4A8" w14:textId="0ABAF8B9" w:rsidR="00A05CA8" w:rsidRPr="00A05CA8" w:rsidRDefault="00A05CA8" w:rsidP="00A05CA8">
      <w:pPr>
        <w:pStyle w:val="Default"/>
        <w:jc w:val="both"/>
        <w:rPr>
          <w:rFonts w:ascii="Bahnschrift Light" w:hAnsi="Bahnschrift Light"/>
        </w:rPr>
      </w:pPr>
      <w:r w:rsidRPr="00A05CA8">
        <w:rPr>
          <w:rFonts w:ascii="Bahnschrift Light" w:hAnsi="Bahnschrift Light"/>
        </w:rPr>
        <w:t>Procedury oceny pracowników powinny uwzględniać szeroki zakres kryteriów, takich jak ogólny potencjał naukowców, wyniki badań (np. publikacje, dane, oprogramowanie, modele, algorytmy, metody, patenty, wkład w politykę), działalność (np. zarządzanie, przywództwo, nauczanie, mentoring, przedsiębiorczość, waloryzacja wiedzy, współpraca międzynarodowa, obowiązki administracyjne, usługi na rzecz społeczeństwa, komunikacja naukowa), a także postępowanie w kontekście badań (np. etyka, uczciwość, rygor metodologiczny, otwarta współpraca i udostępnianie wiedzy)</w:t>
      </w:r>
      <w:r w:rsidR="007E6ED6">
        <w:rPr>
          <w:rFonts w:ascii="Bahnschrift Light" w:hAnsi="Bahnschrift Light"/>
        </w:rPr>
        <w:t>, mobilność</w:t>
      </w:r>
      <w:r w:rsidRPr="00A05CA8">
        <w:rPr>
          <w:rFonts w:ascii="Bahnschrift Light" w:hAnsi="Bahnschrift Light"/>
        </w:rPr>
        <w:t>.</w:t>
      </w:r>
    </w:p>
    <w:p w14:paraId="3AF519D3" w14:textId="100CD02A" w:rsidR="00A05CA8" w:rsidRDefault="00A05CA8" w:rsidP="00A05CA8">
      <w:pPr>
        <w:pStyle w:val="Default"/>
        <w:jc w:val="both"/>
        <w:rPr>
          <w:rFonts w:ascii="Bahnschrift Light" w:hAnsi="Bahnschrift Light"/>
        </w:rPr>
      </w:pPr>
      <w:r w:rsidRPr="00A05CA8">
        <w:rPr>
          <w:rFonts w:ascii="Bahnschrift Light" w:hAnsi="Bahnschrift Light"/>
        </w:rPr>
        <w:lastRenderedPageBreak/>
        <w:t xml:space="preserve">Wymagany jest przejrzysty, ustrukturyzowany system awansu zawodowego, który promuje włączenie społeczne i zapewnia równość płci. System ten powinien wspierać rozwój karier w środowisku akademickim, w tym na najwyższych stanowiskach. W tym kontekście, na poziomie państw członkowskich oraz organizacji badawczych, warto rozważyć wprowadzenie systemów zbliżonych do modelu dożywotnich karier naukowych (ang. </w:t>
      </w:r>
      <w:proofErr w:type="spellStart"/>
      <w:r w:rsidRPr="00A05CA8">
        <w:rPr>
          <w:rFonts w:ascii="Bahnschrift Light" w:hAnsi="Bahnschrift Light"/>
        </w:rPr>
        <w:t>tenure</w:t>
      </w:r>
      <w:proofErr w:type="spellEnd"/>
      <w:r w:rsidRPr="00A05CA8">
        <w:rPr>
          <w:rFonts w:ascii="Bahnschrift Light" w:hAnsi="Bahnschrift Light"/>
        </w:rPr>
        <w:t xml:space="preserve"> </w:t>
      </w:r>
      <w:proofErr w:type="spellStart"/>
      <w:r w:rsidRPr="00A05CA8">
        <w:rPr>
          <w:rFonts w:ascii="Bahnschrift Light" w:hAnsi="Bahnschrift Light"/>
        </w:rPr>
        <w:t>track</w:t>
      </w:r>
      <w:proofErr w:type="spellEnd"/>
      <w:r w:rsidRPr="00A05CA8">
        <w:rPr>
          <w:rFonts w:ascii="Bahnschrift Light" w:hAnsi="Bahnschrift Light"/>
        </w:rPr>
        <w:t>), gdzie umowy o pracę na czas określony wiążą się z perspektywą awansu na stanowisko stałe, pod warunkiem pozytywnej oceny.</w:t>
      </w:r>
    </w:p>
    <w:p w14:paraId="79BD83C7" w14:textId="77777777" w:rsidR="00A05CA8" w:rsidRPr="004B6B00" w:rsidRDefault="00A05CA8" w:rsidP="00C8462E">
      <w:pPr>
        <w:pStyle w:val="Default"/>
        <w:jc w:val="both"/>
        <w:rPr>
          <w:rFonts w:ascii="Bahnschrift Light" w:hAnsi="Bahnschrift Light"/>
        </w:rPr>
      </w:pPr>
    </w:p>
    <w:p w14:paraId="022FAFA6" w14:textId="42FD7418" w:rsidR="00E57EAF" w:rsidRDefault="00AD4CC1" w:rsidP="006C0A84">
      <w:pPr>
        <w:pStyle w:val="Nagwek2"/>
        <w:numPr>
          <w:ilvl w:val="1"/>
          <w:numId w:val="8"/>
        </w:numPr>
      </w:pPr>
      <w:bookmarkStart w:id="32" w:name="_Toc189226058"/>
      <w:r w:rsidRPr="004B6B00">
        <w:t>Współautorstwo</w:t>
      </w:r>
      <w:bookmarkEnd w:id="32"/>
      <w:r w:rsidRPr="004B6B00">
        <w:t xml:space="preserve"> </w:t>
      </w:r>
    </w:p>
    <w:p w14:paraId="105BA459" w14:textId="77777777" w:rsidR="001003A9" w:rsidRPr="001003A9" w:rsidRDefault="001003A9" w:rsidP="001003A9"/>
    <w:p w14:paraId="1CB5A72C" w14:textId="730D3FC4" w:rsidR="007E6ED6" w:rsidRDefault="00AD4CC1" w:rsidP="007E6ED6">
      <w:pPr>
        <w:pStyle w:val="Default"/>
        <w:jc w:val="both"/>
        <w:rPr>
          <w:rFonts w:ascii="Bahnschrift Light" w:hAnsi="Bahnschrift Light"/>
        </w:rPr>
      </w:pPr>
      <w:r w:rsidRPr="004B6B00">
        <w:rPr>
          <w:rFonts w:ascii="Bahnschrift Light" w:hAnsi="Bahnschrift Light"/>
        </w:rPr>
        <w:t xml:space="preserve">Instytucje powinny pozytywnie odnosić się do współautorstwa przy ocenie kadry naukowej, </w:t>
      </w:r>
      <w:r w:rsidR="007E6ED6">
        <w:rPr>
          <w:rFonts w:ascii="Bahnschrift Light" w:hAnsi="Bahnschrift Light"/>
        </w:rPr>
        <w:t>traktując je jako</w:t>
      </w:r>
      <w:r w:rsidRPr="004B6B00">
        <w:rPr>
          <w:rFonts w:ascii="Bahnschrift Light" w:hAnsi="Bahnschrift Light"/>
        </w:rPr>
        <w:t xml:space="preserve"> </w:t>
      </w:r>
      <w:r w:rsidR="007E6ED6" w:rsidRPr="004B6B00">
        <w:rPr>
          <w:rFonts w:ascii="Bahnschrift Light" w:hAnsi="Bahnschrift Light"/>
        </w:rPr>
        <w:t>dow</w:t>
      </w:r>
      <w:r w:rsidR="007E6ED6">
        <w:rPr>
          <w:rFonts w:ascii="Bahnschrift Light" w:hAnsi="Bahnschrift Light"/>
        </w:rPr>
        <w:t>ó</w:t>
      </w:r>
      <w:r w:rsidR="007E6ED6" w:rsidRPr="004B6B00">
        <w:rPr>
          <w:rFonts w:ascii="Bahnschrift Light" w:hAnsi="Bahnschrift Light"/>
        </w:rPr>
        <w:t xml:space="preserve">d </w:t>
      </w:r>
      <w:r w:rsidRPr="004B6B00">
        <w:rPr>
          <w:rFonts w:ascii="Bahnschrift Light" w:hAnsi="Bahnschrift Light"/>
        </w:rPr>
        <w:t xml:space="preserve">konstruktywnego podejścia do prowadzenia badań naukowych. Z tego względu pracodawcy i </w:t>
      </w:r>
      <w:proofErr w:type="spellStart"/>
      <w:r w:rsidRPr="004B6B00">
        <w:rPr>
          <w:rFonts w:ascii="Bahnschrift Light" w:hAnsi="Bahnschrift Light"/>
        </w:rPr>
        <w:t>grantodawcy</w:t>
      </w:r>
      <w:proofErr w:type="spellEnd"/>
      <w:r w:rsidRPr="004B6B00">
        <w:rPr>
          <w:rFonts w:ascii="Bahnschrift Light" w:hAnsi="Bahnschrift Light"/>
        </w:rPr>
        <w:t xml:space="preserve"> powinni opracowywać strategie, praktyki oraz procedury zapewniające naukowcom, w tym naukowcom na początkowym etapie kariery, konieczne warunki </w:t>
      </w:r>
      <w:r w:rsidR="007E6ED6" w:rsidRPr="007E6ED6">
        <w:rPr>
          <w:rFonts w:ascii="Bahnschrift Light" w:hAnsi="Bahnschrift Light"/>
        </w:rPr>
        <w:t xml:space="preserve">umożliwiające im korzystanie z prawa do uznania oraz do wymieniania lub cytowania swoich wkładów w kontekście rzeczywistego udziału w pracach badawczych, jako współautorzy publikacji, </w:t>
      </w:r>
      <w:proofErr w:type="spellStart"/>
      <w:r w:rsidR="007E6ED6" w:rsidRPr="007E6ED6">
        <w:rPr>
          <w:rFonts w:ascii="Bahnschrift Light" w:hAnsi="Bahnschrift Light"/>
        </w:rPr>
        <w:t>współwynalazcy</w:t>
      </w:r>
      <w:proofErr w:type="spellEnd"/>
      <w:r w:rsidR="007E6ED6" w:rsidRPr="007E6ED6">
        <w:rPr>
          <w:rFonts w:ascii="Bahnschrift Light" w:hAnsi="Bahnschrift Light"/>
        </w:rPr>
        <w:t xml:space="preserve"> patentów itp., a także prawo do publikacji wyników swoich badań, niezależnie od roli opiekunów.</w:t>
      </w:r>
      <w:r w:rsidRPr="004B6B00">
        <w:rPr>
          <w:rFonts w:ascii="Bahnschrift Light" w:hAnsi="Bahnschrift Light"/>
        </w:rPr>
        <w:t xml:space="preserve"> </w:t>
      </w:r>
      <w:r w:rsidR="007E6ED6">
        <w:rPr>
          <w:rFonts w:ascii="Bahnschrift Light" w:hAnsi="Bahnschrift Light"/>
        </w:rPr>
        <w:t>I</w:t>
      </w:r>
      <w:r w:rsidR="007E6ED6" w:rsidRPr="007E6ED6">
        <w:rPr>
          <w:rFonts w:ascii="Bahnschrift Light" w:hAnsi="Bahnschrift Light"/>
        </w:rPr>
        <w:t xml:space="preserve">nstytucje powinny oferować naukowcom, zwłaszcza tym na </w:t>
      </w:r>
      <w:r w:rsidR="007E6ED6">
        <w:rPr>
          <w:rFonts w:ascii="Bahnschrift Light" w:hAnsi="Bahnschrift Light"/>
        </w:rPr>
        <w:t>wczesnym etapie</w:t>
      </w:r>
      <w:r w:rsidR="007E6ED6" w:rsidRPr="007E6ED6">
        <w:rPr>
          <w:rFonts w:ascii="Bahnschrift Light" w:hAnsi="Bahnschrift Light"/>
        </w:rPr>
        <w:t xml:space="preserve"> kariery, szkolenia i warsztaty poświęcone etycznym aspektom autorstwa, w tym wyjaśniające zasady określania indywidualnego wkładu oraz prawa i obowiązki związane z autorstwem i współautorstwem.</w:t>
      </w:r>
    </w:p>
    <w:p w14:paraId="08F03F5E" w14:textId="77777777" w:rsidR="00E57EAF" w:rsidRPr="004B6B00" w:rsidRDefault="00E57EAF" w:rsidP="00C8462E">
      <w:pPr>
        <w:pStyle w:val="Default"/>
        <w:jc w:val="both"/>
        <w:rPr>
          <w:rFonts w:ascii="Bahnschrift Light" w:hAnsi="Bahnschrift Light"/>
        </w:rPr>
      </w:pPr>
    </w:p>
    <w:p w14:paraId="0923EE60" w14:textId="26BCA5D4" w:rsidR="00E57EAF" w:rsidRDefault="00AD4CC1" w:rsidP="006C0A84">
      <w:pPr>
        <w:pStyle w:val="Nagwek2"/>
        <w:numPr>
          <w:ilvl w:val="1"/>
          <w:numId w:val="8"/>
        </w:numPr>
      </w:pPr>
      <w:bookmarkStart w:id="33" w:name="_Toc189226059"/>
      <w:r w:rsidRPr="004B6B00">
        <w:t>Uznawanie doświadczenia w zakresie mobilności</w:t>
      </w:r>
      <w:bookmarkEnd w:id="33"/>
      <w:r w:rsidRPr="004B6B00">
        <w:t xml:space="preserve"> </w:t>
      </w:r>
    </w:p>
    <w:p w14:paraId="2E327209" w14:textId="77777777" w:rsidR="001003A9" w:rsidRPr="001003A9" w:rsidRDefault="001003A9" w:rsidP="001003A9"/>
    <w:p w14:paraId="3023702E" w14:textId="4CE5A9EF" w:rsidR="00AD4CC1" w:rsidRPr="004B6B00" w:rsidRDefault="00AD4CC1" w:rsidP="00C8462E">
      <w:pPr>
        <w:pStyle w:val="Default"/>
        <w:jc w:val="both"/>
        <w:rPr>
          <w:rFonts w:ascii="Bahnschrift Light" w:hAnsi="Bahnschrift Light"/>
        </w:rPr>
      </w:pPr>
      <w:r w:rsidRPr="004B6B00">
        <w:rPr>
          <w:rFonts w:ascii="Bahnschrift Light" w:hAnsi="Bahnschrift Light"/>
        </w:rPr>
        <w:t xml:space="preserve">Wszelkie </w:t>
      </w:r>
      <w:r w:rsidR="007E6ED6">
        <w:rPr>
          <w:rFonts w:ascii="Bahnschrift Light" w:hAnsi="Bahnschrift Light"/>
        </w:rPr>
        <w:t>doświadczenia</w:t>
      </w:r>
      <w:r w:rsidRPr="004B6B00">
        <w:rPr>
          <w:rFonts w:ascii="Bahnschrift Light" w:hAnsi="Bahnschrift Light"/>
        </w:rPr>
        <w:t xml:space="preserve"> w zakresie mobilności</w:t>
      </w:r>
      <w:r w:rsidR="007E6ED6">
        <w:rPr>
          <w:rFonts w:ascii="Bahnschrift Light" w:hAnsi="Bahnschrift Light"/>
        </w:rPr>
        <w:t xml:space="preserve"> naukowej</w:t>
      </w:r>
      <w:r w:rsidRPr="004B6B00">
        <w:rPr>
          <w:rFonts w:ascii="Bahnschrift Light" w:hAnsi="Bahnschrift Light"/>
        </w:rPr>
        <w:t>, np. pobyt w innym kraju/regionie lub w innym środowisku naukowym (w sektorze państwowym lub prywatnym), zmian</w:t>
      </w:r>
      <w:r w:rsidR="0094714D">
        <w:rPr>
          <w:rFonts w:ascii="Bahnschrift Light" w:hAnsi="Bahnschrift Light"/>
        </w:rPr>
        <w:t>a</w:t>
      </w:r>
      <w:r w:rsidRPr="004B6B00">
        <w:rPr>
          <w:rFonts w:ascii="Bahnschrift Light" w:hAnsi="Bahnschrift Light"/>
        </w:rPr>
        <w:t xml:space="preserve"> dyscypliny lub sektora w </w:t>
      </w:r>
      <w:r w:rsidR="0094714D">
        <w:rPr>
          <w:rFonts w:ascii="Bahnschrift Light" w:hAnsi="Bahnschrift Light"/>
        </w:rPr>
        <w:t>trakcie</w:t>
      </w:r>
      <w:r w:rsidRPr="004B6B00">
        <w:rPr>
          <w:rFonts w:ascii="Bahnschrift Light" w:hAnsi="Bahnschrift Light"/>
        </w:rPr>
        <w:t xml:space="preserve"> kariery naukowej, </w:t>
      </w:r>
      <w:r w:rsidR="0094714D">
        <w:rPr>
          <w:rFonts w:ascii="Bahnschrift Light" w:hAnsi="Bahnschrift Light"/>
        </w:rPr>
        <w:t xml:space="preserve">a </w:t>
      </w:r>
      <w:proofErr w:type="spellStart"/>
      <w:r w:rsidR="0094714D">
        <w:rPr>
          <w:rFonts w:ascii="Bahnschrift Light" w:hAnsi="Bahnschrift Light"/>
        </w:rPr>
        <w:t>takżę</w:t>
      </w:r>
      <w:proofErr w:type="spellEnd"/>
      <w:r w:rsidR="0094714D" w:rsidRPr="004B6B00">
        <w:rPr>
          <w:rFonts w:ascii="Bahnschrift Light" w:hAnsi="Bahnschrift Light"/>
        </w:rPr>
        <w:t xml:space="preserve"> </w:t>
      </w:r>
      <w:r w:rsidRPr="004B6B00">
        <w:rPr>
          <w:rFonts w:ascii="Bahnschrift Light" w:hAnsi="Bahnschrift Light"/>
        </w:rPr>
        <w:t>doświadczenie w zakresie mobilności wirtualnej należy postrzegać jako cenny wkład w rozwój zawodowy naukowca.</w:t>
      </w:r>
    </w:p>
    <w:p w14:paraId="3A63CFDF" w14:textId="222A7AB3" w:rsidR="00BF4CE5" w:rsidRPr="004B6B00" w:rsidRDefault="00BF4CE5" w:rsidP="00C8462E">
      <w:pPr>
        <w:pStyle w:val="Default"/>
        <w:jc w:val="both"/>
        <w:rPr>
          <w:rFonts w:ascii="Bahnschrift Light" w:hAnsi="Bahnschrift Light"/>
        </w:rPr>
      </w:pPr>
    </w:p>
    <w:p w14:paraId="52B1F2F4" w14:textId="0FC250E3" w:rsidR="00BF4CE5" w:rsidRPr="004B6B00" w:rsidRDefault="00BF4CE5" w:rsidP="00C8462E">
      <w:pPr>
        <w:pStyle w:val="Default"/>
        <w:jc w:val="both"/>
        <w:rPr>
          <w:rFonts w:ascii="Bahnschrift Light" w:hAnsi="Bahnschrift Light"/>
        </w:rPr>
      </w:pPr>
    </w:p>
    <w:p w14:paraId="445A3339" w14:textId="342B0E3A" w:rsidR="006F44A2" w:rsidRDefault="007E6ED6" w:rsidP="007E6ED6">
      <w:pPr>
        <w:pStyle w:val="Default"/>
        <w:jc w:val="both"/>
        <w:rPr>
          <w:rFonts w:ascii="Bahnschrift Light" w:hAnsi="Bahnschrift Light"/>
        </w:rPr>
      </w:pPr>
      <w:r w:rsidRPr="007E6ED6">
        <w:rPr>
          <w:rFonts w:ascii="Bahnschrift Light" w:hAnsi="Bahnschrift Light"/>
        </w:rPr>
        <w:t>Zgodnie z opiniami 70% naukowców w Instytucie, obowiązujące procedury rekrutacyjne są jasno określone, otwarte, przejrzyste i efektywne, dostosowane do wymagań oferowanych stanowisk. Natomiast 78% respondentów twierdzi, że ogłoszenia rekrutacyjne zawierają wystarczające informacje na temat wymaganej wiedzy, umiejętności kandydatów, kryteriów wyboru oraz warunków zatrudnienia, co świadczy o wysokim poziomie transparentności i profesjonalizmu w procesie rekrutacji.</w:t>
      </w:r>
    </w:p>
    <w:p w14:paraId="663E8E8D" w14:textId="77777777" w:rsidR="004B6B00" w:rsidRPr="004B6B00" w:rsidRDefault="004B6B00" w:rsidP="006710C8">
      <w:pPr>
        <w:pStyle w:val="Default"/>
        <w:jc w:val="both"/>
        <w:rPr>
          <w:rFonts w:ascii="Bahnschrift Light" w:hAnsi="Bahnschrift Light"/>
        </w:rPr>
      </w:pPr>
    </w:p>
    <w:p w14:paraId="17986608" w14:textId="525BAEDD" w:rsidR="00C6563B" w:rsidRPr="004B6B00" w:rsidRDefault="00C6563B" w:rsidP="006C0A84">
      <w:pPr>
        <w:pStyle w:val="Nagwek1"/>
      </w:pPr>
      <w:bookmarkStart w:id="34" w:name="_Toc189226060"/>
      <w:r w:rsidRPr="004B6B00">
        <w:t>3 FILAR</w:t>
      </w:r>
      <w:bookmarkEnd w:id="34"/>
    </w:p>
    <w:p w14:paraId="225025A9" w14:textId="7CC6BCC1" w:rsidR="00C6563B" w:rsidRPr="004B6B00" w:rsidRDefault="00C6563B" w:rsidP="006C0A84">
      <w:pPr>
        <w:pStyle w:val="Nagwek1"/>
      </w:pPr>
      <w:bookmarkStart w:id="35" w:name="_Hlk182479003"/>
      <w:bookmarkStart w:id="36" w:name="_Toc189226061"/>
      <w:r w:rsidRPr="004B6B00">
        <w:t>Warunki pracy i praktyki</w:t>
      </w:r>
      <w:bookmarkEnd w:id="35"/>
      <w:bookmarkEnd w:id="36"/>
    </w:p>
    <w:p w14:paraId="316A378A" w14:textId="52E18508" w:rsidR="006F44A2" w:rsidRPr="004B6B00" w:rsidRDefault="006F44A2" w:rsidP="006710C8">
      <w:pPr>
        <w:pStyle w:val="Default"/>
        <w:jc w:val="both"/>
        <w:rPr>
          <w:rFonts w:ascii="Bahnschrift Light" w:hAnsi="Bahnschrift Light"/>
        </w:rPr>
      </w:pPr>
    </w:p>
    <w:p w14:paraId="19A88E57" w14:textId="77777777" w:rsidR="001003A9" w:rsidRDefault="006F44A2" w:rsidP="006C0A84">
      <w:pPr>
        <w:pStyle w:val="Nagwek2"/>
        <w:numPr>
          <w:ilvl w:val="0"/>
          <w:numId w:val="21"/>
        </w:numPr>
      </w:pPr>
      <w:bookmarkStart w:id="37" w:name="_Hlk182479045"/>
      <w:bookmarkStart w:id="38" w:name="_Toc189226062"/>
      <w:r w:rsidRPr="004B6B00">
        <w:t>Warunki pracy, finansowanie i wynagrodzenie</w:t>
      </w:r>
      <w:bookmarkEnd w:id="38"/>
    </w:p>
    <w:p w14:paraId="5721FABC" w14:textId="604D89B3" w:rsidR="006F44A2" w:rsidRPr="004B6B00" w:rsidRDefault="006F44A2" w:rsidP="001003A9">
      <w:pPr>
        <w:pStyle w:val="Nagwek2"/>
        <w:ind w:left="720"/>
      </w:pPr>
      <w:r w:rsidRPr="004B6B00">
        <w:t xml:space="preserve"> </w:t>
      </w:r>
    </w:p>
    <w:bookmarkEnd w:id="37"/>
    <w:p w14:paraId="7A71580D" w14:textId="24CA0834" w:rsidR="00992A80" w:rsidRPr="00992A80" w:rsidRDefault="00992A80" w:rsidP="00992A80">
      <w:pPr>
        <w:pStyle w:val="Default"/>
        <w:jc w:val="both"/>
        <w:rPr>
          <w:rFonts w:ascii="Bahnschrift Light" w:hAnsi="Bahnschrift Light"/>
        </w:rPr>
      </w:pPr>
      <w:proofErr w:type="spellStart"/>
      <w:r w:rsidRPr="00992A80">
        <w:rPr>
          <w:rFonts w:ascii="Bahnschrift Light" w:hAnsi="Bahnschrift Light"/>
        </w:rPr>
        <w:t>Grantodawcy</w:t>
      </w:r>
      <w:proofErr w:type="spellEnd"/>
      <w:r w:rsidRPr="00992A80">
        <w:rPr>
          <w:rFonts w:ascii="Bahnschrift Light" w:hAnsi="Bahnschrift Light"/>
        </w:rPr>
        <w:t xml:space="preserve"> oraz pracodawcy powinni zagwarantować, aby warunki pracy naukowców, w tym osób z niepełnosprawnościami, były elastyczne i dostępne w takim stopniu, aby umożliwiały skuteczne prowadzenie badań naukowych, zgodnie z obowiązującymi </w:t>
      </w:r>
      <w:r w:rsidRPr="00992A80">
        <w:rPr>
          <w:rFonts w:ascii="Bahnschrift Light" w:hAnsi="Bahnschrift Light"/>
        </w:rPr>
        <w:lastRenderedPageBreak/>
        <w:t>przepisami krajowymi oraz umowami zbiorowymi w danym sektorze. Warunki te powinny umożliwiać łączenie życia zawodowego z osobistym</w:t>
      </w:r>
      <w:r>
        <w:rPr>
          <w:rFonts w:ascii="Bahnschrift Light" w:hAnsi="Bahnschrift Light"/>
        </w:rPr>
        <w:t xml:space="preserve"> i</w:t>
      </w:r>
      <w:r w:rsidRPr="00992A80">
        <w:rPr>
          <w:rFonts w:ascii="Bahnschrift Light" w:hAnsi="Bahnschrift Light"/>
        </w:rPr>
        <w:t xml:space="preserve"> rodzinnym, </w:t>
      </w:r>
      <w:r>
        <w:rPr>
          <w:rFonts w:ascii="Bahnschrift Light" w:hAnsi="Bahnschrift Light"/>
        </w:rPr>
        <w:t>umożliwiać</w:t>
      </w:r>
      <w:r w:rsidRPr="00992A80">
        <w:rPr>
          <w:rFonts w:ascii="Bahnschrift Light" w:hAnsi="Bahnschrift Light"/>
        </w:rPr>
        <w:t xml:space="preserve"> dbaniem o zdrowie, </w:t>
      </w:r>
      <w:r>
        <w:rPr>
          <w:rFonts w:ascii="Bahnschrift Light" w:hAnsi="Bahnschrift Light"/>
        </w:rPr>
        <w:t xml:space="preserve">zapewniać </w:t>
      </w:r>
      <w:r w:rsidRPr="00992A80">
        <w:rPr>
          <w:rFonts w:ascii="Bahnschrift Light" w:hAnsi="Bahnschrift Light"/>
        </w:rPr>
        <w:t>bezpieczeństwo i dobrostan, nie wpływając negatywnie na rozwój kariery naukowej.</w:t>
      </w:r>
    </w:p>
    <w:p w14:paraId="3C1C6BC3" w14:textId="3899AEF9" w:rsidR="00992A80" w:rsidRPr="004B6B00" w:rsidRDefault="00AD4CC1" w:rsidP="006710C8">
      <w:pPr>
        <w:pStyle w:val="Default"/>
        <w:jc w:val="both"/>
        <w:rPr>
          <w:rFonts w:ascii="Bahnschrift Light" w:hAnsi="Bahnschrift Light"/>
        </w:rPr>
      </w:pPr>
      <w:r w:rsidRPr="004B6B00">
        <w:rPr>
          <w:rFonts w:ascii="Bahnschrift Light" w:hAnsi="Bahnschrift Light"/>
        </w:rPr>
        <w:t xml:space="preserve">Szczególną uwagę należy zwrócić m.in. na elastyczne godziny pracy, pracę w niepełnym wymiarze godzin, pracę zdalną, urlop naukowy oraz niezbędne przepisy finansowe i administracyjne regulujące tego typu rozwiązania. Pracodawcy powinni zapewnić warunki i środowisko pracy </w:t>
      </w:r>
      <w:r w:rsidR="00992A80" w:rsidRPr="00992A80">
        <w:rPr>
          <w:rFonts w:ascii="Bahnschrift Light" w:hAnsi="Bahnschrift Light"/>
        </w:rPr>
        <w:t>sprzyjające zdrowiu psychicznemu i ogólnemu dobrostanowi</w:t>
      </w:r>
      <w:r w:rsidR="00992A80">
        <w:rPr>
          <w:rFonts w:ascii="Bahnschrift Light" w:hAnsi="Bahnschrift Light"/>
        </w:rPr>
        <w:t xml:space="preserve"> pracowników</w:t>
      </w:r>
      <w:r w:rsidR="00992A80" w:rsidRPr="00992A80">
        <w:rPr>
          <w:rFonts w:ascii="Bahnschrift Light" w:hAnsi="Bahnschrift Light"/>
        </w:rPr>
        <w:t>.</w:t>
      </w:r>
      <w:r w:rsidRPr="004B6B00">
        <w:rPr>
          <w:rFonts w:ascii="Bahnschrift Light" w:hAnsi="Bahnschrift Light"/>
        </w:rPr>
        <w:t xml:space="preserve">, w tym </w:t>
      </w:r>
      <w:bookmarkStart w:id="39" w:name="_Hlk182479327"/>
      <w:r w:rsidRPr="004B6B00">
        <w:rPr>
          <w:rFonts w:ascii="Bahnschrift Light" w:hAnsi="Bahnschrift Light"/>
        </w:rPr>
        <w:t xml:space="preserve">odpowiednie procedury zapobiegania przemocy ze względu na płeć, między innymi molestowaniu seksualnemu, oraz </w:t>
      </w:r>
      <w:r w:rsidR="00992A80" w:rsidRPr="00992A80">
        <w:rPr>
          <w:rFonts w:ascii="Bahnschrift Light" w:hAnsi="Bahnschrift Light"/>
        </w:rPr>
        <w:t>mechanizmy przeciwdziałania tym zjawiskom</w:t>
      </w:r>
      <w:r w:rsidR="00992A80" w:rsidRPr="004B6B00">
        <w:rPr>
          <w:rFonts w:ascii="Bahnschrift Light" w:hAnsi="Bahnschrift Light"/>
        </w:rPr>
        <w:t xml:space="preserve"> </w:t>
      </w:r>
      <w:bookmarkEnd w:id="39"/>
    </w:p>
    <w:p w14:paraId="4301BFC8" w14:textId="4B5D0AC6" w:rsidR="00E57EAF" w:rsidRPr="004B6B00" w:rsidRDefault="00AD4CC1" w:rsidP="006710C8">
      <w:pPr>
        <w:pStyle w:val="Default"/>
        <w:jc w:val="both"/>
        <w:rPr>
          <w:rFonts w:ascii="Bahnschrift Light" w:hAnsi="Bahnschrift Light"/>
        </w:rPr>
      </w:pPr>
      <w:r w:rsidRPr="004B6B00">
        <w:rPr>
          <w:rFonts w:ascii="Bahnschrift Light" w:hAnsi="Bahnschrift Light"/>
        </w:rPr>
        <w:t xml:space="preserve">Środowisko badań naukowych </w:t>
      </w:r>
    </w:p>
    <w:p w14:paraId="50EFCAD5" w14:textId="36796491" w:rsidR="00AD4CC1" w:rsidRPr="004B6B00" w:rsidRDefault="00AD4CC1" w:rsidP="006710C8">
      <w:pPr>
        <w:pStyle w:val="Default"/>
        <w:jc w:val="both"/>
        <w:rPr>
          <w:rFonts w:ascii="Bahnschrift Light" w:hAnsi="Bahnschrift Light"/>
        </w:rPr>
      </w:pPr>
      <w:r w:rsidRPr="004B6B00">
        <w:rPr>
          <w:rFonts w:ascii="Bahnschrift Light" w:hAnsi="Bahnschrift Light"/>
        </w:rPr>
        <w:t xml:space="preserve">Pracodawcy </w:t>
      </w:r>
      <w:r w:rsidR="00621733">
        <w:rPr>
          <w:rFonts w:ascii="Bahnschrift Light" w:hAnsi="Bahnschrift Light"/>
        </w:rPr>
        <w:t>zatrudniający</w:t>
      </w:r>
      <w:r w:rsidRPr="004B6B00">
        <w:rPr>
          <w:rFonts w:ascii="Bahnschrift Light" w:hAnsi="Bahnschrift Light"/>
        </w:rPr>
        <w:t xml:space="preserve"> naukowców powinni </w:t>
      </w:r>
      <w:r w:rsidR="00621733">
        <w:rPr>
          <w:rFonts w:ascii="Bahnschrift Light" w:hAnsi="Bahnschrift Light"/>
        </w:rPr>
        <w:t>dążyć do</w:t>
      </w:r>
      <w:r w:rsidRPr="004B6B00">
        <w:rPr>
          <w:rFonts w:ascii="Bahnschrift Light" w:hAnsi="Bahnschrift Light"/>
        </w:rPr>
        <w:t xml:space="preserve"> </w:t>
      </w:r>
      <w:bookmarkStart w:id="40" w:name="_Hlk182480432"/>
      <w:r w:rsidR="00621733" w:rsidRPr="004B6B00">
        <w:rPr>
          <w:rFonts w:ascii="Bahnschrift Light" w:hAnsi="Bahnschrift Light"/>
        </w:rPr>
        <w:t>stworzeni</w:t>
      </w:r>
      <w:r w:rsidR="00621733">
        <w:rPr>
          <w:rFonts w:ascii="Bahnschrift Light" w:hAnsi="Bahnschrift Light"/>
        </w:rPr>
        <w:t>a</w:t>
      </w:r>
      <w:r w:rsidR="00621733" w:rsidRPr="004B6B00">
        <w:rPr>
          <w:rFonts w:ascii="Bahnschrift Light" w:hAnsi="Bahnschrift Light"/>
        </w:rPr>
        <w:t xml:space="preserve"> </w:t>
      </w:r>
      <w:r w:rsidRPr="004B6B00">
        <w:rPr>
          <w:rFonts w:ascii="Bahnschrift Light" w:hAnsi="Bahnschrift Light"/>
        </w:rPr>
        <w:t xml:space="preserve">jak najbardziej stymulującego środowiska badań, które zapewni </w:t>
      </w:r>
      <w:r w:rsidR="00621733">
        <w:rPr>
          <w:rFonts w:ascii="Bahnschrift Light" w:hAnsi="Bahnschrift Light"/>
        </w:rPr>
        <w:t xml:space="preserve">dostęp do </w:t>
      </w:r>
      <w:r w:rsidRPr="004B6B00">
        <w:rPr>
          <w:rFonts w:ascii="Bahnschrift Light" w:hAnsi="Bahnschrift Light"/>
        </w:rPr>
        <w:t>odpowiedni</w:t>
      </w:r>
      <w:r w:rsidR="00621733">
        <w:rPr>
          <w:rFonts w:ascii="Bahnschrift Light" w:hAnsi="Bahnschrift Light"/>
        </w:rPr>
        <w:t>ej aparatury badawczej</w:t>
      </w:r>
      <w:r w:rsidRPr="004B6B00">
        <w:rPr>
          <w:rFonts w:ascii="Bahnschrift Light" w:hAnsi="Bahnschrift Light"/>
        </w:rPr>
        <w:t xml:space="preserve">, </w:t>
      </w:r>
      <w:r w:rsidR="00621733">
        <w:rPr>
          <w:rFonts w:ascii="Bahnschrift Light" w:hAnsi="Bahnschrift Light"/>
        </w:rPr>
        <w:t>i infrastruktury</w:t>
      </w:r>
      <w:r w:rsidRPr="004B6B00">
        <w:rPr>
          <w:rFonts w:ascii="Bahnschrift Light" w:hAnsi="Bahnschrift Light"/>
        </w:rPr>
        <w:t xml:space="preserve">, </w:t>
      </w:r>
      <w:r w:rsidR="00621733">
        <w:rPr>
          <w:rFonts w:ascii="Bahnschrift Light" w:hAnsi="Bahnschrift Light"/>
        </w:rPr>
        <w:t>a także umożliwi współpracę naukową z innymi ośrodkami badawczymi</w:t>
      </w:r>
      <w:r w:rsidRPr="004B6B00">
        <w:rPr>
          <w:rFonts w:ascii="Bahnschrift Light" w:hAnsi="Bahnschrift Light"/>
        </w:rPr>
        <w:t xml:space="preserve"> </w:t>
      </w:r>
      <w:bookmarkEnd w:id="40"/>
      <w:r w:rsidRPr="004B6B00">
        <w:rPr>
          <w:rFonts w:ascii="Bahnschrift Light" w:hAnsi="Bahnschrift Light"/>
        </w:rPr>
        <w:t xml:space="preserve">. </w:t>
      </w:r>
      <w:r w:rsidR="00621733" w:rsidRPr="00992A80">
        <w:rPr>
          <w:rFonts w:ascii="Bahnschrift Light" w:hAnsi="Bahnschrift Light"/>
        </w:rPr>
        <w:t>Szczególną uwagę należy zwrócić na zapewnienie wykwalifikowanego personelu pomocniczego, takiego jak menedżerowie i administratorzy badań naukowych</w:t>
      </w:r>
      <w:r w:rsidR="00621733">
        <w:rPr>
          <w:rFonts w:ascii="Bahnschrift Light" w:hAnsi="Bahnschrift Light"/>
        </w:rPr>
        <w:t>.</w:t>
      </w:r>
    </w:p>
    <w:p w14:paraId="4F8FE22E" w14:textId="77777777" w:rsidR="00E57EAF" w:rsidRPr="004B6B00" w:rsidRDefault="00AD4CC1" w:rsidP="006710C8">
      <w:pPr>
        <w:pStyle w:val="Default"/>
        <w:jc w:val="both"/>
        <w:rPr>
          <w:rFonts w:ascii="Bahnschrift Light" w:hAnsi="Bahnschrift Light"/>
        </w:rPr>
      </w:pPr>
      <w:r w:rsidRPr="004B6B00">
        <w:rPr>
          <w:rFonts w:ascii="Bahnschrift Light" w:hAnsi="Bahnschrift Light"/>
        </w:rPr>
        <w:t xml:space="preserve">Skargi/apelacje </w:t>
      </w:r>
    </w:p>
    <w:p w14:paraId="361AF718" w14:textId="43A6CC54" w:rsidR="003F5873" w:rsidRPr="003F5873" w:rsidRDefault="003F5873" w:rsidP="003F5873">
      <w:pPr>
        <w:pStyle w:val="Default"/>
        <w:jc w:val="both"/>
        <w:rPr>
          <w:rFonts w:ascii="Bahnschrift Light" w:hAnsi="Bahnschrift Light"/>
        </w:rPr>
      </w:pPr>
      <w:proofErr w:type="spellStart"/>
      <w:r w:rsidRPr="003F5873">
        <w:rPr>
          <w:rFonts w:ascii="Bahnschrift Light" w:hAnsi="Bahnschrift Light"/>
        </w:rPr>
        <w:t>Grantodawcy</w:t>
      </w:r>
      <w:proofErr w:type="spellEnd"/>
      <w:r w:rsidRPr="003F5873">
        <w:rPr>
          <w:rFonts w:ascii="Bahnschrift Light" w:hAnsi="Bahnschrift Light"/>
        </w:rPr>
        <w:t xml:space="preserve"> oraz pracodawcy </w:t>
      </w:r>
      <w:r>
        <w:rPr>
          <w:rFonts w:ascii="Bahnschrift Light" w:hAnsi="Bahnschrift Light"/>
        </w:rPr>
        <w:t xml:space="preserve">zatrudniający </w:t>
      </w:r>
      <w:r w:rsidRPr="003F5873">
        <w:rPr>
          <w:rFonts w:ascii="Bahnschrift Light" w:hAnsi="Bahnschrift Light"/>
        </w:rPr>
        <w:t xml:space="preserve">naukowców powinni wdrożyć odpowiednie procedury, zgodne z obowiązującymi krajowymi, unijnymi lub międzynarodowymi zasadami i przepisami, które umożliwią skuteczne rozwiązywanie problemów związanych z konfliktem czy skargami. Przykładem takich działań może być wyznaczenie bezstronnego rzecznika, odpowiedzialnego za rozpatrywanie skarg i apelacji naukowców, w tym także w kwestiach dotyczących konfliktów między </w:t>
      </w:r>
      <w:r>
        <w:rPr>
          <w:rFonts w:ascii="Bahnschrift Light" w:hAnsi="Bahnschrift Light"/>
        </w:rPr>
        <w:t>nimi</w:t>
      </w:r>
      <w:r w:rsidRPr="003F5873">
        <w:rPr>
          <w:rFonts w:ascii="Bahnschrift Light" w:hAnsi="Bahnschrift Light"/>
        </w:rPr>
        <w:t>.</w:t>
      </w:r>
    </w:p>
    <w:p w14:paraId="6822F437" w14:textId="67013C9F" w:rsidR="00E57EAF" w:rsidRPr="004B6B00" w:rsidRDefault="003F5873" w:rsidP="006710C8">
      <w:pPr>
        <w:pStyle w:val="Default"/>
        <w:jc w:val="both"/>
        <w:rPr>
          <w:rFonts w:ascii="Bahnschrift Light" w:hAnsi="Bahnschrift Light"/>
        </w:rPr>
      </w:pPr>
      <w:r>
        <w:rPr>
          <w:rFonts w:ascii="Bahnschrift Light" w:hAnsi="Bahnschrift Light"/>
        </w:rPr>
        <w:t>P</w:t>
      </w:r>
      <w:r w:rsidR="00AD4CC1" w:rsidRPr="004B6B00">
        <w:rPr>
          <w:rFonts w:ascii="Bahnschrift Light" w:hAnsi="Bahnschrift Light"/>
        </w:rPr>
        <w:t xml:space="preserve">rocedury </w:t>
      </w:r>
      <w:r>
        <w:rPr>
          <w:rFonts w:ascii="Bahnschrift Light" w:hAnsi="Bahnschrift Light"/>
        </w:rPr>
        <w:t xml:space="preserve">te </w:t>
      </w:r>
      <w:r w:rsidR="00AD4CC1" w:rsidRPr="004B6B00">
        <w:rPr>
          <w:rFonts w:ascii="Bahnschrift Light" w:hAnsi="Bahnschrift Light"/>
        </w:rPr>
        <w:t xml:space="preserve">powinny zapewnić całej kadrze naukowej poufną i nieformalną pomoc w rozwiązywaniu konfliktów związanych z </w:t>
      </w:r>
      <w:proofErr w:type="spellStart"/>
      <w:r w:rsidR="00AD4CC1" w:rsidRPr="004B6B00">
        <w:rPr>
          <w:rFonts w:ascii="Bahnschrift Light" w:hAnsi="Bahnschrift Light"/>
        </w:rPr>
        <w:t>pracą</w:t>
      </w:r>
      <w:r>
        <w:rPr>
          <w:rFonts w:ascii="Bahnschrift Light" w:hAnsi="Bahnschrift Light"/>
        </w:rPr>
        <w:t>.Ich</w:t>
      </w:r>
      <w:proofErr w:type="spellEnd"/>
      <w:r>
        <w:rPr>
          <w:rFonts w:ascii="Bahnschrift Light" w:hAnsi="Bahnschrift Light"/>
        </w:rPr>
        <w:t xml:space="preserve"> </w:t>
      </w:r>
      <w:r w:rsidR="00AD4CC1" w:rsidRPr="004B6B00">
        <w:rPr>
          <w:rFonts w:ascii="Bahnschrift Light" w:hAnsi="Bahnschrift Light"/>
        </w:rPr>
        <w:t xml:space="preserve">celem  jest </w:t>
      </w:r>
      <w:r>
        <w:rPr>
          <w:rFonts w:ascii="Bahnschrift Light" w:hAnsi="Bahnschrift Light"/>
        </w:rPr>
        <w:t xml:space="preserve">zapewnienie </w:t>
      </w:r>
      <w:r w:rsidR="00AD4CC1" w:rsidRPr="004B6B00">
        <w:rPr>
          <w:rFonts w:ascii="Bahnschrift Light" w:hAnsi="Bahnschrift Light"/>
        </w:rPr>
        <w:t xml:space="preserve">sprawiedliwego i równego traktowania w obrębie instytucji oraz poprawa jakości warunków i środowiska pracy. Uczestnictwo w zarządzaniu organizacją </w:t>
      </w:r>
    </w:p>
    <w:p w14:paraId="6BB34D5B" w14:textId="3E6ECC76" w:rsidR="00AD4CC1" w:rsidRPr="004B6B00" w:rsidRDefault="00AD4CC1" w:rsidP="006710C8">
      <w:pPr>
        <w:pStyle w:val="Default"/>
        <w:jc w:val="both"/>
        <w:rPr>
          <w:rFonts w:ascii="Bahnschrift Light" w:hAnsi="Bahnschrift Light"/>
        </w:rPr>
      </w:pPr>
      <w:proofErr w:type="spellStart"/>
      <w:r w:rsidRPr="004B6B00">
        <w:rPr>
          <w:rFonts w:ascii="Bahnschrift Light" w:hAnsi="Bahnschrift Light"/>
        </w:rPr>
        <w:t>Grantodawcy</w:t>
      </w:r>
      <w:proofErr w:type="spellEnd"/>
      <w:r w:rsidRPr="004B6B00">
        <w:rPr>
          <w:rFonts w:ascii="Bahnschrift Light" w:hAnsi="Bahnschrift Light"/>
        </w:rPr>
        <w:t xml:space="preserve"> i pracodawcy </w:t>
      </w:r>
      <w:r w:rsidR="003F5873">
        <w:rPr>
          <w:rFonts w:ascii="Bahnschrift Light" w:hAnsi="Bahnschrift Light"/>
        </w:rPr>
        <w:t>zatrudniający</w:t>
      </w:r>
      <w:r w:rsidR="003F5873" w:rsidRPr="004B6B00">
        <w:rPr>
          <w:rFonts w:ascii="Bahnschrift Light" w:hAnsi="Bahnschrift Light"/>
        </w:rPr>
        <w:t xml:space="preserve"> </w:t>
      </w:r>
      <w:r w:rsidRPr="004B6B00">
        <w:rPr>
          <w:rFonts w:ascii="Bahnschrift Light" w:hAnsi="Bahnschrift Light"/>
        </w:rPr>
        <w:t>naukowców powinni uznać za w pełni uzasadnione, a wręcz pożądane,</w:t>
      </w:r>
      <w:r w:rsidR="003F5873">
        <w:rPr>
          <w:rFonts w:ascii="Bahnschrift Light" w:hAnsi="Bahnschrift Light"/>
        </w:rPr>
        <w:t xml:space="preserve"> ich</w:t>
      </w:r>
      <w:r w:rsidRPr="004B6B00">
        <w:rPr>
          <w:rFonts w:ascii="Bahnschrift Light" w:hAnsi="Bahnschrift Light"/>
        </w:rPr>
        <w:t xml:space="preserve"> prawo do posiadania przedstawicieli we właściwych organach informacyjnych, konsultacyjnych i decyzyjnych w instytucjach, w których </w:t>
      </w:r>
      <w:r w:rsidR="003F5873">
        <w:rPr>
          <w:rFonts w:ascii="Bahnschrift Light" w:hAnsi="Bahnschrift Light"/>
        </w:rPr>
        <w:t>są zatrudnieni.</w:t>
      </w:r>
      <w:r w:rsidRPr="004B6B00">
        <w:rPr>
          <w:rFonts w:ascii="Bahnschrift Light" w:hAnsi="Bahnschrift Light"/>
        </w:rPr>
        <w:t xml:space="preserve"> </w:t>
      </w:r>
      <w:r w:rsidR="003F5873">
        <w:rPr>
          <w:rFonts w:ascii="Bahnschrift Light" w:hAnsi="Bahnschrift Light"/>
        </w:rPr>
        <w:t xml:space="preserve">Pozwala to na skuteczną </w:t>
      </w:r>
      <w:r w:rsidR="003F5873" w:rsidRPr="004B6B00">
        <w:rPr>
          <w:rFonts w:ascii="Bahnschrift Light" w:hAnsi="Bahnschrift Light"/>
        </w:rPr>
        <w:t>ochron</w:t>
      </w:r>
      <w:r w:rsidR="003F5873">
        <w:rPr>
          <w:rFonts w:ascii="Bahnschrift Light" w:hAnsi="Bahnschrift Light"/>
        </w:rPr>
        <w:t>ę</w:t>
      </w:r>
      <w:r w:rsidR="003F5873" w:rsidRPr="004B6B00">
        <w:rPr>
          <w:rFonts w:ascii="Bahnschrift Light" w:hAnsi="Bahnschrift Light"/>
        </w:rPr>
        <w:t xml:space="preserve"> </w:t>
      </w:r>
      <w:r w:rsidRPr="004B6B00">
        <w:rPr>
          <w:rFonts w:ascii="Bahnschrift Light" w:hAnsi="Bahnschrift Light"/>
        </w:rPr>
        <w:t>i reprezentowani</w:t>
      </w:r>
      <w:r w:rsidR="003F5873">
        <w:rPr>
          <w:rFonts w:ascii="Bahnschrift Light" w:hAnsi="Bahnschrift Light"/>
        </w:rPr>
        <w:t xml:space="preserve">e </w:t>
      </w:r>
      <w:r w:rsidRPr="004B6B00">
        <w:rPr>
          <w:rFonts w:ascii="Bahnschrift Light" w:hAnsi="Bahnschrift Light"/>
        </w:rPr>
        <w:t xml:space="preserve"> indywidualnych i zbiorowych interesów naukowców oraz </w:t>
      </w:r>
      <w:r w:rsidR="003F5873">
        <w:rPr>
          <w:rFonts w:ascii="Bahnschrift Light" w:hAnsi="Bahnschrift Light"/>
        </w:rPr>
        <w:t xml:space="preserve">umożliwia </w:t>
      </w:r>
      <w:r w:rsidRPr="004B6B00">
        <w:rPr>
          <w:rFonts w:ascii="Bahnschrift Light" w:hAnsi="Bahnschrift Light"/>
        </w:rPr>
        <w:t xml:space="preserve">aktywne </w:t>
      </w:r>
      <w:r w:rsidR="003F5873" w:rsidRPr="004B6B00">
        <w:rPr>
          <w:rFonts w:ascii="Bahnschrift Light" w:hAnsi="Bahnschrift Light"/>
        </w:rPr>
        <w:t>włączeni</w:t>
      </w:r>
      <w:r w:rsidR="003F5873">
        <w:rPr>
          <w:rFonts w:ascii="Bahnschrift Light" w:hAnsi="Bahnschrift Light"/>
        </w:rPr>
        <w:t>e</w:t>
      </w:r>
      <w:r w:rsidR="003F5873" w:rsidRPr="004B6B00">
        <w:rPr>
          <w:rFonts w:ascii="Bahnschrift Light" w:hAnsi="Bahnschrift Light"/>
        </w:rPr>
        <w:t xml:space="preserve"> </w:t>
      </w:r>
      <w:r w:rsidRPr="004B6B00">
        <w:rPr>
          <w:rFonts w:ascii="Bahnschrift Light" w:hAnsi="Bahnschrift Light"/>
        </w:rPr>
        <w:t>się w prace instytucji.</w:t>
      </w:r>
    </w:p>
    <w:p w14:paraId="0350D9C2" w14:textId="34E01182" w:rsidR="00E57EAF" w:rsidRDefault="00E57EAF" w:rsidP="006710C8">
      <w:pPr>
        <w:pStyle w:val="Default"/>
        <w:jc w:val="both"/>
        <w:rPr>
          <w:rFonts w:ascii="Bahnschrift Light" w:hAnsi="Bahnschrift Light"/>
        </w:rPr>
      </w:pPr>
    </w:p>
    <w:p w14:paraId="6A2A0159" w14:textId="77777777" w:rsidR="003F5873" w:rsidRPr="004B6B00" w:rsidRDefault="003F5873" w:rsidP="006710C8">
      <w:pPr>
        <w:pStyle w:val="Default"/>
        <w:jc w:val="both"/>
        <w:rPr>
          <w:rFonts w:ascii="Bahnschrift Light" w:hAnsi="Bahnschrift Light"/>
        </w:rPr>
      </w:pPr>
    </w:p>
    <w:p w14:paraId="321CEA38" w14:textId="77777777" w:rsidR="00E57EAF" w:rsidRPr="004B6B00" w:rsidRDefault="00AD4CC1" w:rsidP="006710C8">
      <w:pPr>
        <w:pStyle w:val="Default"/>
        <w:jc w:val="both"/>
        <w:rPr>
          <w:rFonts w:ascii="Bahnschrift Light" w:hAnsi="Bahnschrift Light"/>
        </w:rPr>
      </w:pPr>
      <w:r w:rsidRPr="004B6B00">
        <w:rPr>
          <w:rFonts w:ascii="Bahnschrift Light" w:hAnsi="Bahnschrift Light"/>
        </w:rPr>
        <w:t xml:space="preserve">Finansowanie i wynagrodzenia </w:t>
      </w:r>
    </w:p>
    <w:p w14:paraId="2A070EBD" w14:textId="02173B85" w:rsidR="00AD4CC1" w:rsidRPr="004B6B00" w:rsidRDefault="00AD4CC1" w:rsidP="006710C8">
      <w:pPr>
        <w:pStyle w:val="Default"/>
        <w:jc w:val="both"/>
        <w:rPr>
          <w:rFonts w:ascii="Bahnschrift Light" w:hAnsi="Bahnschrift Light"/>
        </w:rPr>
      </w:pPr>
      <w:proofErr w:type="spellStart"/>
      <w:r w:rsidRPr="004B6B00">
        <w:rPr>
          <w:rFonts w:ascii="Bahnschrift Light" w:hAnsi="Bahnschrift Light"/>
        </w:rPr>
        <w:t>Grantodawcy</w:t>
      </w:r>
      <w:proofErr w:type="spellEnd"/>
      <w:r w:rsidRPr="004B6B00">
        <w:rPr>
          <w:rFonts w:ascii="Bahnschrift Light" w:hAnsi="Bahnschrift Light"/>
        </w:rPr>
        <w:t xml:space="preserve"> i pracodawcy</w:t>
      </w:r>
      <w:r w:rsidR="003F5873">
        <w:rPr>
          <w:rFonts w:ascii="Bahnschrift Light" w:hAnsi="Bahnschrift Light"/>
        </w:rPr>
        <w:t xml:space="preserve"> zatrudniający</w:t>
      </w:r>
      <w:r w:rsidRPr="004B6B00">
        <w:rPr>
          <w:rFonts w:ascii="Bahnschrift Light" w:hAnsi="Bahnschrift Light"/>
        </w:rPr>
        <w:t xml:space="preserve"> naukowców powinni zapewnić </w:t>
      </w:r>
      <w:r w:rsidR="003F5873">
        <w:rPr>
          <w:rFonts w:ascii="Bahnschrift Light" w:hAnsi="Bahnschrift Light"/>
        </w:rPr>
        <w:t>im</w:t>
      </w:r>
      <w:r w:rsidRPr="004B6B00">
        <w:rPr>
          <w:rFonts w:ascii="Bahnschrift Light" w:hAnsi="Bahnschrift Light"/>
        </w:rPr>
        <w:t xml:space="preserve">, sprawiedliwe i atrakcyjne warunki wynagrodzenia wraz z odpowiednimi i sprawiedliwymi świadczeniami w zakresie ubezpieczenia społecznego (w tym zasiłki chorobowe, opieka zdrowotna i zasiłki rodzicielskie, uprawnienia emerytalno-rentowe oraz zasiłki dla bezrobotnych, emerytury i renty wdowie, renty inwalidzkie oraz świadczenia z tytułu wypadków przy pracy i choroby zawodowej) zgodnie z obowiązującymi przepisami krajowymi oraz krajowymi lub sektorowymi układami zbiorowymi. Warunki te powinny obejmować </w:t>
      </w:r>
      <w:r w:rsidR="00E624BF">
        <w:rPr>
          <w:rFonts w:ascii="Bahnschrift Light" w:hAnsi="Bahnschrift Light"/>
        </w:rPr>
        <w:t xml:space="preserve">wszystkich </w:t>
      </w:r>
      <w:r w:rsidRPr="004B6B00">
        <w:rPr>
          <w:rFonts w:ascii="Bahnschrift Light" w:hAnsi="Bahnschrift Light"/>
        </w:rPr>
        <w:t xml:space="preserve">naukowców na każdym etapie kariery naukowej, </w:t>
      </w:r>
      <w:r w:rsidR="00E624BF">
        <w:rPr>
          <w:rFonts w:ascii="Bahnschrift Light" w:hAnsi="Bahnschrift Light"/>
        </w:rPr>
        <w:t>a ich zakres powinien być</w:t>
      </w:r>
      <w:r w:rsidRPr="004B6B00">
        <w:rPr>
          <w:rFonts w:ascii="Bahnschrift Light" w:hAnsi="Bahnschrift Light"/>
        </w:rPr>
        <w:t xml:space="preserve"> </w:t>
      </w:r>
      <w:r w:rsidR="00E624BF" w:rsidRPr="004B6B00">
        <w:rPr>
          <w:rFonts w:ascii="Bahnschrift Light" w:hAnsi="Bahnschrift Light"/>
        </w:rPr>
        <w:t>proporcjonaln</w:t>
      </w:r>
      <w:r w:rsidR="00E624BF">
        <w:rPr>
          <w:rFonts w:ascii="Bahnschrift Light" w:hAnsi="Bahnschrift Light"/>
        </w:rPr>
        <w:t>y</w:t>
      </w:r>
      <w:r w:rsidR="00E624BF" w:rsidRPr="004B6B00">
        <w:rPr>
          <w:rFonts w:ascii="Bahnschrift Light" w:hAnsi="Bahnschrift Light"/>
        </w:rPr>
        <w:t xml:space="preserve"> </w:t>
      </w:r>
      <w:r w:rsidRPr="004B6B00">
        <w:rPr>
          <w:rFonts w:ascii="Bahnschrift Light" w:hAnsi="Bahnschrift Light"/>
        </w:rPr>
        <w:t xml:space="preserve">do ich statusu prawnego, wyników oraz poziomu kwalifikacji i zakresu obowiązków. </w:t>
      </w:r>
      <w:r w:rsidR="00E624BF" w:rsidRPr="003F5873">
        <w:rPr>
          <w:rFonts w:ascii="Bahnschrift Light" w:hAnsi="Bahnschrift Light"/>
        </w:rPr>
        <w:t>Naukowcy powinni mieć pełną świadomość swoich praw i obowiązków związanych z obliczaniem wynagrodzenia</w:t>
      </w:r>
      <w:r w:rsidRPr="004B6B00">
        <w:rPr>
          <w:rFonts w:ascii="Bahnschrift Light" w:hAnsi="Bahnschrift Light"/>
        </w:rPr>
        <w:t>, a także  otrzymać przejrzyste informacje na temat praw do ochrony socjalnej, takich jak krajowe uprawnienia emerytalno-rentowe.</w:t>
      </w:r>
    </w:p>
    <w:p w14:paraId="073CAF4B" w14:textId="3E1D843F" w:rsidR="00AD4CC1" w:rsidRPr="004B6B00" w:rsidRDefault="00AD4CC1" w:rsidP="006710C8">
      <w:pPr>
        <w:pStyle w:val="Default"/>
        <w:jc w:val="both"/>
        <w:rPr>
          <w:rFonts w:ascii="Bahnschrift Light" w:hAnsi="Bahnschrift Light"/>
        </w:rPr>
      </w:pPr>
    </w:p>
    <w:p w14:paraId="16A376CD" w14:textId="4D59DCCC" w:rsidR="006F44A2" w:rsidRPr="004B6B00" w:rsidRDefault="006F44A2" w:rsidP="006C0A84">
      <w:pPr>
        <w:pStyle w:val="Nagwek2"/>
        <w:numPr>
          <w:ilvl w:val="0"/>
          <w:numId w:val="21"/>
        </w:numPr>
      </w:pPr>
      <w:bookmarkStart w:id="41" w:name="_Hlk182481166"/>
      <w:bookmarkStart w:id="42" w:name="_Toc189226063"/>
      <w:r w:rsidRPr="004B6B00">
        <w:t>Stabilność zatrudnienia</w:t>
      </w:r>
      <w:bookmarkEnd w:id="42"/>
      <w:r w:rsidRPr="004B6B00">
        <w:t xml:space="preserve"> </w:t>
      </w:r>
    </w:p>
    <w:bookmarkEnd w:id="41"/>
    <w:p w14:paraId="703A87A1" w14:textId="06F497C6" w:rsidR="00AD4CC1" w:rsidRPr="004B6B00" w:rsidRDefault="00AD4CC1" w:rsidP="006710C8">
      <w:pPr>
        <w:pStyle w:val="Default"/>
        <w:jc w:val="both"/>
        <w:rPr>
          <w:rFonts w:ascii="Bahnschrift Light" w:hAnsi="Bahnschrift Light"/>
        </w:rPr>
      </w:pPr>
    </w:p>
    <w:p w14:paraId="0312068F" w14:textId="78868A91" w:rsidR="00E624BF" w:rsidRPr="004B6B00" w:rsidRDefault="00AD4CC1" w:rsidP="00E624BF">
      <w:pPr>
        <w:pStyle w:val="Default"/>
        <w:jc w:val="both"/>
        <w:rPr>
          <w:rFonts w:ascii="Bahnschrift Light" w:hAnsi="Bahnschrift Light"/>
        </w:rPr>
      </w:pPr>
      <w:r w:rsidRPr="004B6B00">
        <w:rPr>
          <w:rFonts w:ascii="Bahnschrift Light" w:hAnsi="Bahnschrift Light"/>
        </w:rPr>
        <w:t xml:space="preserve">Pracodawcy i </w:t>
      </w:r>
      <w:proofErr w:type="spellStart"/>
      <w:r w:rsidRPr="004B6B00">
        <w:rPr>
          <w:rFonts w:ascii="Bahnschrift Light" w:hAnsi="Bahnschrift Light"/>
        </w:rPr>
        <w:t>grantodawcy</w:t>
      </w:r>
      <w:proofErr w:type="spellEnd"/>
      <w:r w:rsidRPr="004B6B00">
        <w:rPr>
          <w:rFonts w:ascii="Bahnschrift Light" w:hAnsi="Bahnschrift Light"/>
        </w:rPr>
        <w:t xml:space="preserve"> powinni podjąć zdecydowane działania, aby przeciwdziałać zjawisku </w:t>
      </w:r>
      <w:proofErr w:type="spellStart"/>
      <w:r w:rsidRPr="004B6B00">
        <w:rPr>
          <w:rFonts w:ascii="Bahnschrift Light" w:hAnsi="Bahnschrift Light"/>
        </w:rPr>
        <w:t>prekarności</w:t>
      </w:r>
      <w:proofErr w:type="spellEnd"/>
      <w:r w:rsidRPr="004B6B00">
        <w:rPr>
          <w:rFonts w:ascii="Bahnschrift Light" w:hAnsi="Bahnschrift Light"/>
        </w:rPr>
        <w:t xml:space="preserve"> zatrudnienia</w:t>
      </w:r>
      <w:r w:rsidR="00E624BF">
        <w:rPr>
          <w:rFonts w:ascii="Bahnschrift Light" w:hAnsi="Bahnschrift Light"/>
        </w:rPr>
        <w:t xml:space="preserve">, a </w:t>
      </w:r>
      <w:proofErr w:type="spellStart"/>
      <w:r w:rsidR="00E624BF">
        <w:rPr>
          <w:rFonts w:ascii="Bahnschrift Light" w:hAnsi="Bahnschrift Light"/>
        </w:rPr>
        <w:t>także</w:t>
      </w:r>
      <w:r w:rsidRPr="004B6B00">
        <w:rPr>
          <w:rFonts w:ascii="Bahnschrift Light" w:hAnsi="Bahnschrift Light"/>
        </w:rPr>
        <w:t>wspierać</w:t>
      </w:r>
      <w:proofErr w:type="spellEnd"/>
      <w:r w:rsidRPr="004B6B00">
        <w:rPr>
          <w:rFonts w:ascii="Bahnschrift Light" w:hAnsi="Bahnschrift Light"/>
        </w:rPr>
        <w:t xml:space="preserve"> bezpieczeństwo i stabilność zatrudnienia. </w:t>
      </w:r>
      <w:r w:rsidR="00E624BF">
        <w:rPr>
          <w:rFonts w:ascii="Bahnschrift Light" w:hAnsi="Bahnschrift Light"/>
        </w:rPr>
        <w:t>W ramach tych działań</w:t>
      </w:r>
      <w:r w:rsidRPr="004B6B00">
        <w:rPr>
          <w:rFonts w:ascii="Bahnschrift Light" w:hAnsi="Bahnschrift Light"/>
        </w:rPr>
        <w:t xml:space="preserve"> </w:t>
      </w:r>
      <w:r w:rsidR="00E624BF" w:rsidRPr="00E624BF">
        <w:rPr>
          <w:rFonts w:ascii="Bahnschrift Light" w:hAnsi="Bahnschrift Light"/>
        </w:rPr>
        <w:t xml:space="preserve">na zasadzie dobrowolności, można rozważyć </w:t>
      </w:r>
      <w:r w:rsidR="00E624BF" w:rsidRPr="00E624BF">
        <w:rPr>
          <w:rFonts w:ascii="Bahnschrift Light" w:hAnsi="Bahnschrift Light"/>
        </w:rPr>
        <w:lastRenderedPageBreak/>
        <w:t xml:space="preserve">wprowadzenie limitu liczby umów na czas określony w całkowitym zatrudnieniu naukowców w danej organizacji. </w:t>
      </w:r>
      <w:r w:rsidRPr="004B6B00">
        <w:rPr>
          <w:rFonts w:ascii="Bahnschrift Light" w:hAnsi="Bahnschrift Light"/>
        </w:rPr>
        <w:t xml:space="preserve">Niezależnie od tego, czy realizowane prace badawcze mają charakter stały, długoterminowy lub są to prace o wysokiej powtarzalności, </w:t>
      </w:r>
      <w:r w:rsidR="00E624BF" w:rsidRPr="00E624BF">
        <w:rPr>
          <w:rFonts w:ascii="Bahnschrift Light" w:hAnsi="Bahnschrift Light"/>
        </w:rPr>
        <w:t>preferowanym rozwiązaniem powinny być umowy na czas nieokreślony.</w:t>
      </w:r>
      <w:r w:rsidRPr="004B6B00">
        <w:rPr>
          <w:rFonts w:ascii="Bahnschrift Light" w:hAnsi="Bahnschrift Light"/>
        </w:rPr>
        <w:t xml:space="preserve"> Naukowcy zatrudnieni na podstawie umów na czas określony powinni </w:t>
      </w:r>
      <w:r w:rsidR="00E624BF">
        <w:rPr>
          <w:rFonts w:ascii="Bahnschrift Light" w:hAnsi="Bahnschrift Light"/>
        </w:rPr>
        <w:t>mieć dostęp do</w:t>
      </w:r>
      <w:r w:rsidRPr="004B6B00">
        <w:rPr>
          <w:rFonts w:ascii="Bahnschrift Light" w:hAnsi="Bahnschrift Light"/>
        </w:rPr>
        <w:t xml:space="preserve"> specjalnych usług </w:t>
      </w:r>
      <w:r w:rsidR="00E624BF">
        <w:rPr>
          <w:rFonts w:ascii="Bahnschrift Light" w:hAnsi="Bahnschrift Light"/>
        </w:rPr>
        <w:t>wspierających</w:t>
      </w:r>
      <w:r w:rsidRPr="004B6B00">
        <w:rPr>
          <w:rFonts w:ascii="Bahnschrift Light" w:hAnsi="Bahnschrift Light"/>
        </w:rPr>
        <w:t xml:space="preserve"> rozw</w:t>
      </w:r>
      <w:r w:rsidR="00E624BF">
        <w:rPr>
          <w:rFonts w:ascii="Bahnschrift Light" w:hAnsi="Bahnschrift Light"/>
        </w:rPr>
        <w:t>ój</w:t>
      </w:r>
      <w:r w:rsidRPr="004B6B00">
        <w:rPr>
          <w:rFonts w:ascii="Bahnschrift Light" w:hAnsi="Bahnschrift Light"/>
        </w:rPr>
        <w:t xml:space="preserve"> kariery i doradztwa</w:t>
      </w:r>
      <w:r w:rsidR="00E624BF">
        <w:rPr>
          <w:rFonts w:ascii="Bahnschrift Light" w:hAnsi="Bahnschrift Light"/>
        </w:rPr>
        <w:t xml:space="preserve"> zawodowego</w:t>
      </w:r>
      <w:r w:rsidRPr="004B6B00">
        <w:rPr>
          <w:rFonts w:ascii="Bahnschrift Light" w:hAnsi="Bahnschrift Light"/>
        </w:rPr>
        <w:t xml:space="preserve">, </w:t>
      </w:r>
      <w:r w:rsidR="00E624BF" w:rsidRPr="00E624BF">
        <w:rPr>
          <w:rFonts w:ascii="Bahnschrift Light" w:hAnsi="Bahnschrift Light"/>
        </w:rPr>
        <w:t>co pozwoli im zapewnić ciągłość kariery zawodowej i zwiększyć ich stabilność zawodową w długoterminowej perspektywie.</w:t>
      </w:r>
      <w:r w:rsidR="00E624BF" w:rsidRPr="004B6B00" w:rsidDel="00E624BF">
        <w:rPr>
          <w:rFonts w:ascii="Bahnschrift Light" w:hAnsi="Bahnschrift Light"/>
        </w:rPr>
        <w:t xml:space="preserve"> </w:t>
      </w:r>
    </w:p>
    <w:p w14:paraId="61C77F6F" w14:textId="3D70B8DD" w:rsidR="00AD4CC1" w:rsidRPr="004B6B00" w:rsidRDefault="00AD4CC1" w:rsidP="006710C8">
      <w:pPr>
        <w:pStyle w:val="Default"/>
        <w:jc w:val="both"/>
        <w:rPr>
          <w:rFonts w:ascii="Bahnschrift Light" w:hAnsi="Bahnschrift Light"/>
        </w:rPr>
      </w:pPr>
    </w:p>
    <w:p w14:paraId="31D7531F" w14:textId="77777777" w:rsidR="00E57EAF" w:rsidRPr="004B6B00" w:rsidRDefault="00AD4CC1" w:rsidP="006710C8">
      <w:pPr>
        <w:pStyle w:val="Default"/>
        <w:jc w:val="both"/>
        <w:rPr>
          <w:rFonts w:ascii="Bahnschrift Light" w:hAnsi="Bahnschrift Light"/>
        </w:rPr>
      </w:pPr>
      <w:r w:rsidRPr="004B6B00">
        <w:rPr>
          <w:rFonts w:ascii="Bahnschrift Light" w:hAnsi="Bahnschrift Light"/>
        </w:rPr>
        <w:t xml:space="preserve">Naukowcy na wczesnym etapie kariery (R1-R2) </w:t>
      </w:r>
    </w:p>
    <w:p w14:paraId="2870D393" w14:textId="78C3952D" w:rsidR="00AD4CC1" w:rsidRPr="004B6B00" w:rsidRDefault="00AD4CC1" w:rsidP="006710C8">
      <w:pPr>
        <w:pStyle w:val="Default"/>
        <w:jc w:val="both"/>
        <w:rPr>
          <w:rFonts w:ascii="Bahnschrift Light" w:hAnsi="Bahnschrift Light"/>
        </w:rPr>
      </w:pPr>
      <w:r w:rsidRPr="004B6B00">
        <w:rPr>
          <w:rFonts w:ascii="Bahnschrift Light" w:hAnsi="Bahnschrift Light"/>
        </w:rPr>
        <w:t>Ponadto</w:t>
      </w:r>
    </w:p>
    <w:p w14:paraId="03A5B22C" w14:textId="06B1063F" w:rsidR="00AD4CC1" w:rsidRPr="004B6B00" w:rsidRDefault="00AD4CC1" w:rsidP="006710C8">
      <w:pPr>
        <w:pStyle w:val="Default"/>
        <w:jc w:val="both"/>
        <w:rPr>
          <w:rFonts w:ascii="Bahnschrift Light" w:hAnsi="Bahnschrift Light"/>
        </w:rPr>
      </w:pPr>
    </w:p>
    <w:p w14:paraId="3BD2BCE5" w14:textId="2934DD5C" w:rsidR="00E624BF" w:rsidRPr="00E624BF" w:rsidRDefault="00E624BF" w:rsidP="00E624BF">
      <w:pPr>
        <w:pStyle w:val="Default"/>
        <w:jc w:val="both"/>
        <w:rPr>
          <w:rFonts w:ascii="Bahnschrift Light" w:hAnsi="Bahnschrift Light"/>
        </w:rPr>
      </w:pPr>
      <w:proofErr w:type="spellStart"/>
      <w:r w:rsidRPr="00E624BF">
        <w:rPr>
          <w:rFonts w:ascii="Bahnschrift Light" w:hAnsi="Bahnschrift Light"/>
        </w:rPr>
        <w:t>Prekarność</w:t>
      </w:r>
      <w:proofErr w:type="spellEnd"/>
      <w:r w:rsidRPr="00E624BF">
        <w:rPr>
          <w:rFonts w:ascii="Bahnschrift Light" w:hAnsi="Bahnschrift Light"/>
        </w:rPr>
        <w:t xml:space="preserve"> zatrudnienia stanowi szczególny problem w środowisku akademickim, a jej skutki mogą negatywnie wpływać na rozwój kariery naukowej. Aby skutecznie przeciwdziałać temu zjawisku, zaleca się wdrożenie środków, które wspierałyby naukowców na wczesnym etapie kariery (R1), szczególnie w zakresie zapewnienia ochrony socjalnej, warunków pracy oraz adekwatnych dochodów. Istotne jest także promowanie zaangażowania młodych naukowców w zespoły badawcze oraz </w:t>
      </w:r>
      <w:r w:rsidR="009B3F2A">
        <w:rPr>
          <w:rFonts w:ascii="Bahnschrift Light" w:hAnsi="Bahnschrift Light"/>
        </w:rPr>
        <w:t>niedopuszczanie do</w:t>
      </w:r>
      <w:r w:rsidRPr="00E624BF">
        <w:rPr>
          <w:rFonts w:ascii="Bahnschrift Light" w:hAnsi="Bahnschrift Light"/>
        </w:rPr>
        <w:t xml:space="preserve"> sytuacji, w których są oni zmuszeni do wykonywania zadań niezwiązanych z ich wykształceniem naukowym. Dodatkowo, ich mobilność – zarówno międzyinstytucjonalna, międzysektorowa, interdyscyplinarna, jak i geograficzna (w tym mobilność wirtualna) – powinna być uznawana i wspierana.</w:t>
      </w:r>
    </w:p>
    <w:p w14:paraId="4B6CEFBE" w14:textId="77777777" w:rsidR="00E624BF" w:rsidRPr="00E624BF" w:rsidRDefault="00E624BF" w:rsidP="00E624BF">
      <w:pPr>
        <w:pStyle w:val="Default"/>
        <w:jc w:val="both"/>
        <w:rPr>
          <w:rFonts w:ascii="Bahnschrift Light" w:hAnsi="Bahnschrift Light"/>
        </w:rPr>
      </w:pPr>
      <w:r w:rsidRPr="00E624BF">
        <w:rPr>
          <w:rFonts w:ascii="Bahnschrift Light" w:hAnsi="Bahnschrift Light"/>
        </w:rPr>
        <w:t>Instytucje zatrudniające naukowców powinny również ustalić jasne zasady dotyczące rekrutacji i mianowania uznanych naukowców (R2), w tym określić maksymalny okres sprawowania stanowiska oraz cele mianowania. Wytyczne te powinny uwzględniać doświadczenie zdobyte na wcześniejszych stanowiskach w innych instytucjach oraz przyjąć, że status pracownika ze stopniem doktora jest przejściowy, co umożliwia stworzenie długoterminowych perspektyw rozwoju kariery naukowej na podstawie umowy na czas określony lub stałego zatrudnienia.</w:t>
      </w:r>
    </w:p>
    <w:p w14:paraId="50496492" w14:textId="13BBA56A" w:rsidR="00AD4CC1" w:rsidRDefault="00E624BF" w:rsidP="00E624BF">
      <w:pPr>
        <w:pStyle w:val="Default"/>
        <w:jc w:val="both"/>
        <w:rPr>
          <w:rFonts w:ascii="Bahnschrift Light" w:hAnsi="Bahnschrift Light"/>
        </w:rPr>
      </w:pPr>
      <w:r w:rsidRPr="00E624BF">
        <w:rPr>
          <w:rFonts w:ascii="Bahnschrift Light" w:hAnsi="Bahnschrift Light"/>
        </w:rPr>
        <w:t xml:space="preserve">Pracodawcy i </w:t>
      </w:r>
      <w:proofErr w:type="spellStart"/>
      <w:r w:rsidRPr="00E624BF">
        <w:rPr>
          <w:rFonts w:ascii="Bahnschrift Light" w:hAnsi="Bahnschrift Light"/>
        </w:rPr>
        <w:t>grantodawcy</w:t>
      </w:r>
      <w:proofErr w:type="spellEnd"/>
      <w:r w:rsidRPr="00E624BF">
        <w:rPr>
          <w:rFonts w:ascii="Bahnschrift Light" w:hAnsi="Bahnschrift Light"/>
        </w:rPr>
        <w:t xml:space="preserve"> powinni także starać się informować naukowców na wczesnym etapie kariery o dostępnych ścieżkach zawodowych zarówno w środowisku akademickim, jak i poza nim, oferując im szeroką gamę możliwości rozwoju zawodowego, zwłaszcza na etapie R2. Należy dążyć do zapewnienia bardziej przejrzystych i przewidywalnych perspektyw kariery oraz do promowania możliwości uczenia się w miejscu pracy, w tym także w różnych sektorach.</w:t>
      </w:r>
    </w:p>
    <w:p w14:paraId="4F3E2428" w14:textId="4CBBF05E" w:rsidR="00E624BF" w:rsidRDefault="00E624BF" w:rsidP="006710C8">
      <w:pPr>
        <w:pStyle w:val="Default"/>
        <w:jc w:val="both"/>
        <w:rPr>
          <w:rFonts w:ascii="Bahnschrift Light" w:hAnsi="Bahnschrift Light"/>
        </w:rPr>
      </w:pPr>
    </w:p>
    <w:p w14:paraId="61012681" w14:textId="77777777" w:rsidR="00E624BF" w:rsidRPr="004B6B00" w:rsidRDefault="00E624BF" w:rsidP="006710C8">
      <w:pPr>
        <w:pStyle w:val="Default"/>
        <w:jc w:val="both"/>
        <w:rPr>
          <w:rFonts w:ascii="Bahnschrift Light" w:hAnsi="Bahnschrift Light"/>
        </w:rPr>
      </w:pPr>
    </w:p>
    <w:p w14:paraId="6C7C67DC" w14:textId="100BA0B1" w:rsidR="006F44A2" w:rsidRPr="004B6B00" w:rsidRDefault="006F44A2" w:rsidP="00E57EAF">
      <w:pPr>
        <w:pStyle w:val="Default"/>
        <w:numPr>
          <w:ilvl w:val="0"/>
          <w:numId w:val="12"/>
        </w:numPr>
        <w:jc w:val="both"/>
        <w:rPr>
          <w:rFonts w:ascii="Bahnschrift Light" w:hAnsi="Bahnschrift Light"/>
        </w:rPr>
      </w:pPr>
      <w:bookmarkStart w:id="43" w:name="_Hlk182481433"/>
      <w:r w:rsidRPr="004B6B00">
        <w:rPr>
          <w:rFonts w:ascii="Bahnschrift Light" w:hAnsi="Bahnschrift Light"/>
        </w:rPr>
        <w:t xml:space="preserve">Zobowiązania wynikające z umowy lub przepisów </w:t>
      </w:r>
    </w:p>
    <w:bookmarkEnd w:id="43"/>
    <w:p w14:paraId="726E6452" w14:textId="5E57B2AF" w:rsidR="00AD4CC1" w:rsidRPr="004B6B00" w:rsidRDefault="00AD4CC1" w:rsidP="006710C8">
      <w:pPr>
        <w:pStyle w:val="Default"/>
        <w:jc w:val="both"/>
        <w:rPr>
          <w:rFonts w:ascii="Bahnschrift Light" w:hAnsi="Bahnschrift Light"/>
        </w:rPr>
      </w:pPr>
      <w:r w:rsidRPr="004B6B00">
        <w:rPr>
          <w:rFonts w:ascii="Bahnschrift Light" w:hAnsi="Bahnschrift Light"/>
        </w:rPr>
        <w:t xml:space="preserve">Naukowcy </w:t>
      </w:r>
      <w:r w:rsidR="009B3F2A" w:rsidRPr="009B3F2A">
        <w:rPr>
          <w:rFonts w:ascii="Bahnschrift Light" w:hAnsi="Bahnschrift Light"/>
        </w:rPr>
        <w:t xml:space="preserve">na każdym </w:t>
      </w:r>
      <w:r w:rsidRPr="004B6B00">
        <w:rPr>
          <w:rFonts w:ascii="Bahnschrift Light" w:hAnsi="Bahnschrift Light"/>
        </w:rPr>
        <w:t xml:space="preserve">etapie kariery zawodowej powinni znać krajowe, sektorowe lub instytucjonalne przepisy regulujące warunki </w:t>
      </w:r>
      <w:r w:rsidR="009B3F2A">
        <w:rPr>
          <w:rFonts w:ascii="Bahnschrift Light" w:hAnsi="Bahnschrift Light"/>
        </w:rPr>
        <w:t xml:space="preserve">pracy i </w:t>
      </w:r>
      <w:r w:rsidRPr="004B6B00">
        <w:rPr>
          <w:rFonts w:ascii="Bahnschrift Light" w:hAnsi="Bahnschrift Light"/>
        </w:rPr>
        <w:t xml:space="preserve">szkoleń. </w:t>
      </w:r>
      <w:r w:rsidR="009B3F2A">
        <w:rPr>
          <w:rFonts w:ascii="Bahnschrift Light" w:hAnsi="Bahnschrift Light"/>
        </w:rPr>
        <w:t>Dotyczy to</w:t>
      </w:r>
      <w:r w:rsidRPr="004B6B00">
        <w:rPr>
          <w:rFonts w:ascii="Bahnschrift Light" w:hAnsi="Bahnschrift Light"/>
        </w:rPr>
        <w:t xml:space="preserve"> </w:t>
      </w:r>
      <w:r w:rsidR="009B3F2A" w:rsidRPr="004B6B00">
        <w:rPr>
          <w:rFonts w:ascii="Bahnschrift Light" w:hAnsi="Bahnschrift Light"/>
        </w:rPr>
        <w:t>przepis</w:t>
      </w:r>
      <w:r w:rsidR="009B3F2A">
        <w:rPr>
          <w:rFonts w:ascii="Bahnschrift Light" w:hAnsi="Bahnschrift Light"/>
        </w:rPr>
        <w:t>ów</w:t>
      </w:r>
      <w:r w:rsidR="009B3F2A" w:rsidRPr="004B6B00">
        <w:rPr>
          <w:rFonts w:ascii="Bahnschrift Light" w:hAnsi="Bahnschrift Light"/>
        </w:rPr>
        <w:t xml:space="preserve"> </w:t>
      </w:r>
      <w:r w:rsidR="009B3F2A">
        <w:rPr>
          <w:rFonts w:ascii="Bahnschrift Light" w:hAnsi="Bahnschrift Light"/>
        </w:rPr>
        <w:t>regulujących</w:t>
      </w:r>
      <w:r w:rsidR="009B3F2A" w:rsidRPr="004B6B00">
        <w:rPr>
          <w:rFonts w:ascii="Bahnschrift Light" w:hAnsi="Bahnschrift Light"/>
        </w:rPr>
        <w:t xml:space="preserve"> </w:t>
      </w:r>
      <w:r w:rsidRPr="004B6B00">
        <w:rPr>
          <w:rFonts w:ascii="Bahnschrift Light" w:hAnsi="Bahnschrift Light"/>
        </w:rPr>
        <w:t>praw</w:t>
      </w:r>
      <w:r w:rsidR="009B3F2A">
        <w:rPr>
          <w:rFonts w:ascii="Bahnschrift Light" w:hAnsi="Bahnschrift Light"/>
        </w:rPr>
        <w:t>a</w:t>
      </w:r>
      <w:r w:rsidRPr="004B6B00">
        <w:rPr>
          <w:rFonts w:ascii="Bahnschrift Light" w:hAnsi="Bahnschrift Light"/>
        </w:rPr>
        <w:t xml:space="preserve"> własności intelektualnej oraz </w:t>
      </w:r>
      <w:r w:rsidR="009B3F2A" w:rsidRPr="004B6B00">
        <w:rPr>
          <w:rFonts w:ascii="Bahnschrift Light" w:hAnsi="Bahnschrift Light"/>
        </w:rPr>
        <w:t>wymaga</w:t>
      </w:r>
      <w:r w:rsidR="009B3F2A">
        <w:rPr>
          <w:rFonts w:ascii="Bahnschrift Light" w:hAnsi="Bahnschrift Light"/>
        </w:rPr>
        <w:t>ń</w:t>
      </w:r>
      <w:r w:rsidR="009B3F2A" w:rsidRPr="004B6B00">
        <w:rPr>
          <w:rFonts w:ascii="Bahnschrift Light" w:hAnsi="Bahnschrift Light"/>
        </w:rPr>
        <w:t xml:space="preserve"> </w:t>
      </w:r>
      <w:r w:rsidRPr="004B6B00">
        <w:rPr>
          <w:rFonts w:ascii="Bahnschrift Light" w:hAnsi="Bahnschrift Light"/>
        </w:rPr>
        <w:t xml:space="preserve">i </w:t>
      </w:r>
      <w:r w:rsidR="009B3F2A" w:rsidRPr="004B6B00">
        <w:rPr>
          <w:rFonts w:ascii="Bahnschrift Light" w:hAnsi="Bahnschrift Light"/>
        </w:rPr>
        <w:t>warunk</w:t>
      </w:r>
      <w:r w:rsidR="009B3F2A">
        <w:rPr>
          <w:rFonts w:ascii="Bahnschrift Light" w:hAnsi="Bahnschrift Light"/>
        </w:rPr>
        <w:t>ów</w:t>
      </w:r>
      <w:r w:rsidR="009B3F2A" w:rsidRPr="004B6B00">
        <w:rPr>
          <w:rFonts w:ascii="Bahnschrift Light" w:hAnsi="Bahnschrift Light"/>
        </w:rPr>
        <w:t xml:space="preserve"> </w:t>
      </w:r>
      <w:r w:rsidR="009B3F2A">
        <w:rPr>
          <w:rFonts w:ascii="Bahnschrift Light" w:hAnsi="Bahnschrift Light"/>
        </w:rPr>
        <w:t>określonych przez</w:t>
      </w:r>
      <w:r w:rsidRPr="004B6B00">
        <w:rPr>
          <w:rFonts w:ascii="Bahnschrift Light" w:hAnsi="Bahnschrift Light"/>
        </w:rPr>
        <w:t xml:space="preserve"> sponsorów lub </w:t>
      </w:r>
      <w:proofErr w:type="spellStart"/>
      <w:r w:rsidRPr="004B6B00">
        <w:rPr>
          <w:rFonts w:ascii="Bahnschrift Light" w:hAnsi="Bahnschrift Light"/>
        </w:rPr>
        <w:t>grantodawców</w:t>
      </w:r>
      <w:proofErr w:type="spellEnd"/>
      <w:r w:rsidRPr="004B6B00">
        <w:rPr>
          <w:rFonts w:ascii="Bahnschrift Light" w:hAnsi="Bahnschrift Light"/>
        </w:rPr>
        <w:t xml:space="preserve">, niezależnie od charakteru umowy. Pracodawcy i </w:t>
      </w:r>
      <w:proofErr w:type="spellStart"/>
      <w:r w:rsidRPr="004B6B00">
        <w:rPr>
          <w:rFonts w:ascii="Bahnschrift Light" w:hAnsi="Bahnschrift Light"/>
        </w:rPr>
        <w:t>grantodawcy</w:t>
      </w:r>
      <w:proofErr w:type="spellEnd"/>
      <w:r w:rsidRPr="004B6B00">
        <w:rPr>
          <w:rFonts w:ascii="Bahnschrift Light" w:hAnsi="Bahnschrift Light"/>
        </w:rPr>
        <w:t xml:space="preserve"> powinni </w:t>
      </w:r>
      <w:r w:rsidR="009B3F2A">
        <w:rPr>
          <w:rFonts w:ascii="Bahnschrift Light" w:hAnsi="Bahnschrift Light"/>
        </w:rPr>
        <w:t>udostępnić</w:t>
      </w:r>
      <w:r w:rsidR="009B3F2A" w:rsidRPr="004B6B00">
        <w:rPr>
          <w:rFonts w:ascii="Bahnschrift Light" w:hAnsi="Bahnschrift Light"/>
        </w:rPr>
        <w:t xml:space="preserve"> </w:t>
      </w:r>
      <w:r w:rsidRPr="004B6B00">
        <w:rPr>
          <w:rFonts w:ascii="Bahnschrift Light" w:hAnsi="Bahnschrift Light"/>
        </w:rPr>
        <w:t xml:space="preserve">kopie tych dokumentów w języku angielskim. Naukowcy </w:t>
      </w:r>
      <w:r w:rsidR="009B3F2A" w:rsidRPr="009B3F2A">
        <w:rPr>
          <w:rFonts w:ascii="Bahnschrift Light" w:hAnsi="Bahnschrift Light"/>
        </w:rPr>
        <w:t>są zobowiązani do przestrzegania tych przepisów, realizując określone w umowie lub równoważnych dokumentach wymagania, takie jak praca doktorska lub habilitacyjna, publikacje, patenty, raporty, nowe produkty itp.</w:t>
      </w:r>
      <w:r w:rsidRPr="004B6B00">
        <w:rPr>
          <w:rFonts w:ascii="Bahnschrift Light" w:hAnsi="Bahnschrift Light"/>
        </w:rPr>
        <w:t xml:space="preserve">,. </w:t>
      </w:r>
      <w:r w:rsidR="009B3F2A" w:rsidRPr="009B3F2A">
        <w:rPr>
          <w:rFonts w:ascii="Bahnschrift Light" w:hAnsi="Bahnschrift Light"/>
        </w:rPr>
        <w:t>Z uwagi na rosnące znaczenie bezpieczeństwa wiedzy</w:t>
      </w:r>
      <w:r w:rsidRPr="004B6B00">
        <w:rPr>
          <w:rFonts w:ascii="Bahnschrift Light" w:hAnsi="Bahnschrift Light"/>
        </w:rPr>
        <w:t>, naukowcy powinni stosować zasady bezpieczeństwa pracy zgodnie z odpowiednimi przepisami krajowymi i unijnymi, czyli m.in. stosować niezbędne środki ostrożności w zakresie zdrowia i bezpieczeństwa pracy oraz usuwania skutków cyberataków i awarii informatycznych, np. przez przygotowanie odpowiednich strategii tworzenia kopii zapasowych. Powinni również znać obowiązujące przepisy prawa krajowego i unijnego dotyczące wymagań w zakresie ochrony danych i poufności oraz podejmować niezbędne kroki w celu stałego stosowania się do tych przepisów.</w:t>
      </w:r>
    </w:p>
    <w:p w14:paraId="38FA6B7D" w14:textId="77777777" w:rsidR="00AD4CC1" w:rsidRPr="004B6B00" w:rsidRDefault="00AD4CC1" w:rsidP="006710C8">
      <w:pPr>
        <w:pStyle w:val="Default"/>
        <w:jc w:val="both"/>
        <w:rPr>
          <w:rFonts w:ascii="Bahnschrift Light" w:hAnsi="Bahnschrift Light"/>
        </w:rPr>
      </w:pPr>
    </w:p>
    <w:p w14:paraId="30B96893" w14:textId="30309C14" w:rsidR="006F44A2" w:rsidRPr="004B6B00" w:rsidRDefault="006F44A2" w:rsidP="00E57EAF">
      <w:pPr>
        <w:pStyle w:val="Default"/>
        <w:numPr>
          <w:ilvl w:val="0"/>
          <w:numId w:val="12"/>
        </w:numPr>
        <w:jc w:val="both"/>
        <w:rPr>
          <w:rFonts w:ascii="Bahnschrift Light" w:hAnsi="Bahnschrift Light"/>
        </w:rPr>
      </w:pPr>
      <w:r w:rsidRPr="004B6B00">
        <w:rPr>
          <w:rFonts w:ascii="Bahnschrift Light" w:hAnsi="Bahnschrift Light"/>
        </w:rPr>
        <w:t>Upowszechnianie i wykorzystywanie wyników</w:t>
      </w:r>
    </w:p>
    <w:p w14:paraId="2593C8B5" w14:textId="62821501" w:rsidR="008D4ADC" w:rsidRPr="008D4ADC" w:rsidRDefault="008D4ADC" w:rsidP="008D4ADC">
      <w:pPr>
        <w:pStyle w:val="Default"/>
        <w:jc w:val="both"/>
        <w:rPr>
          <w:rFonts w:ascii="Bahnschrift Light" w:hAnsi="Bahnschrift Light"/>
        </w:rPr>
      </w:pPr>
      <w:r>
        <w:rPr>
          <w:rFonts w:ascii="Bahnschrift Light" w:hAnsi="Bahnschrift Light"/>
        </w:rPr>
        <w:lastRenderedPageBreak/>
        <w:t>W</w:t>
      </w:r>
      <w:r w:rsidR="00AD4CC1" w:rsidRPr="004B6B00">
        <w:rPr>
          <w:rFonts w:ascii="Bahnschrift Light" w:hAnsi="Bahnschrift Light"/>
        </w:rPr>
        <w:t>szyscy naukowcy powinni praktykować otwartą naukę</w:t>
      </w:r>
      <w:r w:rsidRPr="008D4ADC">
        <w:rPr>
          <w:rFonts w:ascii="Bahnschrift Light" w:hAnsi="Bahnschrift Light"/>
        </w:rPr>
        <w:t xml:space="preserve"> </w:t>
      </w:r>
      <w:r>
        <w:rPr>
          <w:rFonts w:ascii="Bahnschrift Light" w:hAnsi="Bahnschrift Light"/>
        </w:rPr>
        <w:t xml:space="preserve"> </w:t>
      </w:r>
      <w:r w:rsidRPr="008D4ADC">
        <w:rPr>
          <w:rFonts w:ascii="Bahnschrift Light" w:hAnsi="Bahnschrift Light"/>
        </w:rPr>
        <w:t>np. poprzez publikacje, dzielenie się z innymi środowiskami naukowymi oraz, w odpowiednich przypadkach, komercjalizację wyników</w:t>
      </w:r>
      <w:r w:rsidR="00AD4CC1" w:rsidRPr="004B6B00">
        <w:rPr>
          <w:rFonts w:ascii="Bahnschrift Light" w:hAnsi="Bahnschrift Light"/>
        </w:rPr>
        <w:t xml:space="preserve">,. Od starszych pracowników naukowych oczekuje się </w:t>
      </w:r>
      <w:r w:rsidRPr="004B6B00">
        <w:rPr>
          <w:rFonts w:ascii="Bahnschrift Light" w:hAnsi="Bahnschrift Light"/>
        </w:rPr>
        <w:t>przej</w:t>
      </w:r>
      <w:r>
        <w:rPr>
          <w:rFonts w:ascii="Bahnschrift Light" w:hAnsi="Bahnschrift Light"/>
        </w:rPr>
        <w:t>mowania</w:t>
      </w:r>
      <w:r w:rsidRPr="004B6B00">
        <w:rPr>
          <w:rFonts w:ascii="Bahnschrift Light" w:hAnsi="Bahnschrift Light"/>
        </w:rPr>
        <w:t xml:space="preserve"> </w:t>
      </w:r>
      <w:r w:rsidR="00AD4CC1" w:rsidRPr="004B6B00">
        <w:rPr>
          <w:rFonts w:ascii="Bahnschrift Light" w:hAnsi="Bahnschrift Light"/>
        </w:rPr>
        <w:t xml:space="preserve">inicjatywy </w:t>
      </w:r>
      <w:r>
        <w:rPr>
          <w:rFonts w:ascii="Bahnschrift Light" w:hAnsi="Bahnschrift Light"/>
        </w:rPr>
        <w:t>w tym zakresie</w:t>
      </w:r>
      <w:r w:rsidR="00AD4CC1" w:rsidRPr="004B6B00">
        <w:rPr>
          <w:rFonts w:ascii="Bahnschrift Light" w:hAnsi="Bahnschrift Light"/>
        </w:rPr>
        <w:t xml:space="preserve">. Pracodawcy i </w:t>
      </w:r>
      <w:proofErr w:type="spellStart"/>
      <w:r w:rsidR="00AD4CC1" w:rsidRPr="004B6B00">
        <w:rPr>
          <w:rFonts w:ascii="Bahnschrift Light" w:hAnsi="Bahnschrift Light"/>
        </w:rPr>
        <w:t>grantodawcy</w:t>
      </w:r>
      <w:proofErr w:type="spellEnd"/>
      <w:r w:rsidR="00AD4CC1" w:rsidRPr="004B6B00">
        <w:rPr>
          <w:rFonts w:ascii="Bahnschrift Light" w:hAnsi="Bahnschrift Light"/>
        </w:rPr>
        <w:t xml:space="preserve"> powinni </w:t>
      </w:r>
      <w:r>
        <w:rPr>
          <w:rFonts w:ascii="Bahnschrift Light" w:hAnsi="Bahnschrift Light"/>
        </w:rPr>
        <w:t>wspierać naukowców</w:t>
      </w:r>
      <w:r w:rsidR="00AD4CC1" w:rsidRPr="004B6B00">
        <w:rPr>
          <w:rFonts w:ascii="Bahnschrift Light" w:hAnsi="Bahnschrift Light"/>
        </w:rPr>
        <w:t xml:space="preserve"> w tym zakresie </w:t>
      </w:r>
      <w:r>
        <w:rPr>
          <w:rFonts w:ascii="Bahnschrift Light" w:hAnsi="Bahnschrift Light"/>
        </w:rPr>
        <w:t>po</w:t>
      </w:r>
      <w:r w:rsidR="00AD4CC1" w:rsidRPr="004B6B00">
        <w:rPr>
          <w:rFonts w:ascii="Bahnschrift Light" w:hAnsi="Bahnschrift Light"/>
        </w:rPr>
        <w:t xml:space="preserve">przez odpowiednie szkolenia </w:t>
      </w:r>
      <w:r w:rsidRPr="008D4ADC">
        <w:rPr>
          <w:rFonts w:ascii="Bahnschrift Light" w:hAnsi="Bahnschrift Light"/>
        </w:rPr>
        <w:t>które umożliwią im zdobycie niezbędnych umiejętności, a także zapewnienie dostępu do niezbędnego finansowania, infrastruktury i wsparcia. Powinni również doceniać zaangażowanie naukowców w praktyki otwartej nauki, zachęcać ich do takich działań oraz nagradzać je w procesach rekrutacji, oceny postępów kariery oraz przy przyznawaniu środków finansowych na badania.</w:t>
      </w:r>
      <w:r w:rsidR="00AD4CC1" w:rsidRPr="004B6B00">
        <w:rPr>
          <w:rFonts w:ascii="Bahnschrift Light" w:hAnsi="Bahnschrift Light"/>
        </w:rPr>
        <w:t xml:space="preserve"> </w:t>
      </w:r>
      <w:r w:rsidRPr="008D4ADC">
        <w:rPr>
          <w:rFonts w:ascii="Bahnschrift Light" w:hAnsi="Bahnschrift Light"/>
        </w:rPr>
        <w:t xml:space="preserve">W zakresie aktywów intelektualnych, pracodawcy i </w:t>
      </w:r>
      <w:proofErr w:type="spellStart"/>
      <w:r w:rsidRPr="008D4ADC">
        <w:rPr>
          <w:rFonts w:ascii="Bahnschrift Light" w:hAnsi="Bahnschrift Light"/>
        </w:rPr>
        <w:t>grantodawcy</w:t>
      </w:r>
      <w:proofErr w:type="spellEnd"/>
      <w:r w:rsidRPr="008D4ADC">
        <w:rPr>
          <w:rFonts w:ascii="Bahnschrift Light" w:hAnsi="Bahnschrift Light"/>
        </w:rPr>
        <w:t xml:space="preserve"> powinni zapewnić, aby naukowcy na każdym etapie swojej kariery otrzymywali odpowiednie wynagrodzenie za korzyści płynące z wykorzystywania wyników swoich badań, w tym, w stosownych przypadkach, przez zagwarantowanie współwłasności praw własności intelektualnej, takich jak prawa autorskie. Tego rodzaju postanowienia powinny być uwzględnione w strategii zarządzania aktywami intelektualnymi organizacji, która powinna być publicznie dostępna.</w:t>
      </w:r>
    </w:p>
    <w:p w14:paraId="19F6E80B" w14:textId="0AAE0501" w:rsidR="00AD4CC1" w:rsidRPr="004B6B00" w:rsidRDefault="00AD4CC1" w:rsidP="006710C8">
      <w:pPr>
        <w:pStyle w:val="Default"/>
        <w:jc w:val="both"/>
        <w:rPr>
          <w:rFonts w:ascii="Bahnschrift Light" w:hAnsi="Bahnschrift Light"/>
        </w:rPr>
      </w:pPr>
      <w:r w:rsidRPr="004B6B00">
        <w:rPr>
          <w:rFonts w:ascii="Bahnschrift Light" w:hAnsi="Bahnschrift Light"/>
        </w:rPr>
        <w:t xml:space="preserve">Strategia zarządzania aktywami intelektualnymi powinna obejmować tworzenie </w:t>
      </w:r>
      <w:r w:rsidR="008D4ADC" w:rsidRPr="008D4ADC">
        <w:rPr>
          <w:rFonts w:ascii="Bahnschrift Light" w:hAnsi="Bahnschrift Light"/>
        </w:rPr>
        <w:t xml:space="preserve">zarządzanie i wykorzystywanie </w:t>
      </w:r>
      <w:r w:rsidRPr="004B6B00">
        <w:rPr>
          <w:rFonts w:ascii="Bahnschrift Light" w:hAnsi="Bahnschrift Light"/>
        </w:rPr>
        <w:t xml:space="preserve">wszystkich rodzajów aktywów intelektualnych (w tym recenzowanych publikacji, danych, wiedzy fachowej, norm), oraz wspierać praktyki otwartej </w:t>
      </w:r>
      <w:r w:rsidR="008D4ADC" w:rsidRPr="004B6B00">
        <w:rPr>
          <w:rFonts w:ascii="Bahnschrift Light" w:hAnsi="Bahnschrift Light"/>
        </w:rPr>
        <w:t>nau</w:t>
      </w:r>
      <w:r w:rsidR="008D4ADC">
        <w:rPr>
          <w:rFonts w:ascii="Bahnschrift Light" w:hAnsi="Bahnschrift Light"/>
        </w:rPr>
        <w:t>ki</w:t>
      </w:r>
      <w:r w:rsidRPr="004B6B00">
        <w:rPr>
          <w:rFonts w:ascii="Bahnschrift Light" w:hAnsi="Bahnschrift Light"/>
        </w:rPr>
        <w:t>.</w:t>
      </w:r>
    </w:p>
    <w:p w14:paraId="51117336" w14:textId="77777777" w:rsidR="008D4ADC" w:rsidRDefault="008D4ADC" w:rsidP="008D4ADC">
      <w:pPr>
        <w:pStyle w:val="Default"/>
        <w:jc w:val="both"/>
        <w:rPr>
          <w:rFonts w:ascii="Bahnschrift Light" w:hAnsi="Bahnschrift Light"/>
        </w:rPr>
      </w:pPr>
      <w:r w:rsidRPr="008D4ADC">
        <w:rPr>
          <w:rFonts w:ascii="Bahnschrift Light" w:hAnsi="Bahnschrift Light"/>
        </w:rPr>
        <w:t>Powinna ona również jasno określać przepisy dotyczące własności oraz prawa dostępu do tych aktywów, w tym prawa przysługujące naukowcom, pracodawcom lub innym stronom, takim jak partnerzy przemysłowi, w ramach porozumień o współpracy lub innych umów.</w:t>
      </w:r>
    </w:p>
    <w:p w14:paraId="174FE939" w14:textId="1C2415EA" w:rsidR="008D4ADC" w:rsidRDefault="008D4ADC" w:rsidP="006710C8">
      <w:pPr>
        <w:pStyle w:val="Default"/>
        <w:jc w:val="both"/>
        <w:rPr>
          <w:rFonts w:ascii="Bahnschrift Light" w:hAnsi="Bahnschrift Light"/>
        </w:rPr>
      </w:pPr>
    </w:p>
    <w:p w14:paraId="494DA1F5" w14:textId="424B0D2B" w:rsidR="00E57EAF" w:rsidRPr="004B6B00" w:rsidRDefault="00AD4CC1" w:rsidP="006710C8">
      <w:pPr>
        <w:pStyle w:val="Default"/>
        <w:jc w:val="both"/>
        <w:rPr>
          <w:rFonts w:ascii="Bahnschrift Light" w:hAnsi="Bahnschrift Light"/>
        </w:rPr>
      </w:pPr>
      <w:r w:rsidRPr="004B6B00">
        <w:rPr>
          <w:rFonts w:ascii="Bahnschrift Light" w:hAnsi="Bahnschrift Light"/>
        </w:rPr>
        <w:t xml:space="preserve">Zaangażowanie społeczne </w:t>
      </w:r>
    </w:p>
    <w:p w14:paraId="50C38A88" w14:textId="7B2A9044" w:rsidR="00B11EE5" w:rsidRPr="00F317A2" w:rsidRDefault="00AD4CC1" w:rsidP="00B11EE5">
      <w:pPr>
        <w:jc w:val="both"/>
        <w:rPr>
          <w:rFonts w:ascii="Bahnschrift Light" w:hAnsi="Bahnschrift Light"/>
          <w:sz w:val="24"/>
          <w:szCs w:val="24"/>
        </w:rPr>
      </w:pPr>
      <w:r w:rsidRPr="004B6B00">
        <w:rPr>
          <w:rFonts w:ascii="Bahnschrift Light" w:hAnsi="Bahnschrift Light"/>
        </w:rPr>
        <w:t xml:space="preserve">Naukowcy powinni </w:t>
      </w:r>
      <w:r w:rsidR="00F317A2">
        <w:rPr>
          <w:rFonts w:ascii="Bahnschrift Light" w:hAnsi="Bahnschrift Light"/>
        </w:rPr>
        <w:t>zadbać o to</w:t>
      </w:r>
      <w:r w:rsidRPr="004B6B00">
        <w:rPr>
          <w:rFonts w:ascii="Bahnschrift Light" w:hAnsi="Bahnschrift Light"/>
        </w:rPr>
        <w:t xml:space="preserve">, aby ich </w:t>
      </w:r>
      <w:r w:rsidR="00B11EE5">
        <w:rPr>
          <w:rFonts w:ascii="Bahnschrift Light" w:hAnsi="Bahnschrift Light"/>
        </w:rPr>
        <w:t>badania</w:t>
      </w:r>
      <w:r w:rsidRPr="004B6B00">
        <w:rPr>
          <w:rFonts w:ascii="Bahnschrift Light" w:hAnsi="Bahnschrift Light"/>
        </w:rPr>
        <w:t xml:space="preserve"> były przedstawione </w:t>
      </w:r>
      <w:r w:rsidR="00B11EE5">
        <w:rPr>
          <w:rFonts w:ascii="Bahnschrift Light" w:hAnsi="Bahnschrift Light"/>
        </w:rPr>
        <w:t>społeczeństwu</w:t>
      </w:r>
      <w:r w:rsidRPr="004B6B00">
        <w:rPr>
          <w:rFonts w:ascii="Bahnschrift Light" w:hAnsi="Bahnschrift Light"/>
        </w:rPr>
        <w:t xml:space="preserve"> w sposób </w:t>
      </w:r>
      <w:r w:rsidR="00B11EE5" w:rsidRPr="004B6B00">
        <w:rPr>
          <w:rFonts w:ascii="Bahnschrift Light" w:hAnsi="Bahnschrift Light"/>
        </w:rPr>
        <w:t>zrozumiał</w:t>
      </w:r>
      <w:r w:rsidR="00B11EE5">
        <w:rPr>
          <w:rFonts w:ascii="Bahnschrift Light" w:hAnsi="Bahnschrift Light"/>
        </w:rPr>
        <w:t>y</w:t>
      </w:r>
      <w:r w:rsidR="00B11EE5" w:rsidRPr="004B6B00">
        <w:rPr>
          <w:rFonts w:ascii="Bahnschrift Light" w:hAnsi="Bahnschrift Light"/>
        </w:rPr>
        <w:t xml:space="preserve"> </w:t>
      </w:r>
      <w:r w:rsidRPr="004B6B00">
        <w:rPr>
          <w:rFonts w:ascii="Bahnschrift Light" w:hAnsi="Bahnschrift Light"/>
        </w:rPr>
        <w:t xml:space="preserve">dla osób nie będących specjalistami, tym samym podwyższając poziom powszechnego zrozumienia nauki. Bezpośredni dialog obywatelami </w:t>
      </w:r>
      <w:r w:rsidR="00B11EE5" w:rsidRPr="00F317A2">
        <w:rPr>
          <w:rFonts w:ascii="Bahnschrift Light" w:hAnsi="Bahnschrift Light"/>
          <w:sz w:val="24"/>
          <w:szCs w:val="24"/>
        </w:rPr>
        <w:t>pozwala lepiej poznać ich zainteresowania, priorytety i obawy, a także umożliwia współpracę przy projektowaniu i tworzeniu badań, które będą miały realny wpływ na życie społeczne</w:t>
      </w:r>
      <w:r w:rsidR="00B11EE5" w:rsidRPr="004B6B00">
        <w:rPr>
          <w:rFonts w:ascii="Bahnschrift Light" w:hAnsi="Bahnschrift Light"/>
        </w:rPr>
        <w:t xml:space="preserve"> </w:t>
      </w:r>
      <w:r w:rsidR="00B11EE5" w:rsidRPr="00B11EE5">
        <w:rPr>
          <w:rFonts w:ascii="Bahnschrift Light" w:hAnsi="Bahnschrift Light"/>
          <w:sz w:val="24"/>
          <w:szCs w:val="24"/>
        </w:rPr>
        <w:t xml:space="preserve"> </w:t>
      </w:r>
      <w:r w:rsidR="00B11EE5" w:rsidRPr="00F317A2">
        <w:rPr>
          <w:rFonts w:ascii="Bahnschrift Light" w:hAnsi="Bahnschrift Light"/>
          <w:sz w:val="24"/>
          <w:szCs w:val="24"/>
        </w:rPr>
        <w:t>Dzięki takim inicjatywom naukowcy mogą zyskać lepsze zrozumienie oczekiwań społecznych oraz wykorzystać potencjał współtworzenia wiedzy z obywatelami.</w:t>
      </w:r>
    </w:p>
    <w:p w14:paraId="2F5B221A" w14:textId="77777777" w:rsidR="00B11EE5" w:rsidRPr="00F317A2" w:rsidRDefault="00B11EE5" w:rsidP="00B11EE5">
      <w:pPr>
        <w:jc w:val="both"/>
        <w:rPr>
          <w:rFonts w:ascii="Bahnschrift Light" w:hAnsi="Bahnschrift Light"/>
          <w:sz w:val="24"/>
          <w:szCs w:val="24"/>
        </w:rPr>
      </w:pPr>
      <w:r w:rsidRPr="00F317A2">
        <w:rPr>
          <w:rFonts w:ascii="Bahnschrift Light" w:hAnsi="Bahnschrift Light"/>
          <w:sz w:val="24"/>
          <w:szCs w:val="24"/>
        </w:rPr>
        <w:t>Z wyników badań przeprowadzonych w Instytucie wynika, że:</w:t>
      </w:r>
    </w:p>
    <w:p w14:paraId="18A8F633" w14:textId="581D86E0" w:rsidR="00BF4CE5" w:rsidRPr="004B6B00" w:rsidRDefault="00BF4CE5" w:rsidP="006710C8">
      <w:pPr>
        <w:jc w:val="both"/>
        <w:rPr>
          <w:rFonts w:ascii="Bahnschrift Light" w:hAnsi="Bahnschrift Light"/>
          <w:sz w:val="24"/>
          <w:szCs w:val="24"/>
        </w:rPr>
      </w:pPr>
      <w:r w:rsidRPr="004B6B00">
        <w:rPr>
          <w:rFonts w:ascii="Bahnschrift Light" w:hAnsi="Bahnschrift Light"/>
          <w:sz w:val="24"/>
          <w:szCs w:val="24"/>
        </w:rPr>
        <w:t xml:space="preserve">Według 70 % naukowców Instytut </w:t>
      </w:r>
      <w:r w:rsidR="009D5E8C">
        <w:rPr>
          <w:rFonts w:ascii="Bahnschrift Light" w:hAnsi="Bahnschrift Light"/>
          <w:sz w:val="24"/>
          <w:szCs w:val="24"/>
        </w:rPr>
        <w:t xml:space="preserve">Nenckiego </w:t>
      </w:r>
      <w:r w:rsidRPr="004B6B00">
        <w:rPr>
          <w:rFonts w:ascii="Bahnschrift Light" w:hAnsi="Bahnschrift Light"/>
          <w:sz w:val="24"/>
          <w:szCs w:val="24"/>
        </w:rPr>
        <w:t xml:space="preserve">zapewnienia warunki pracy </w:t>
      </w:r>
      <w:r w:rsidR="009D5E8C" w:rsidRPr="00F317A2">
        <w:rPr>
          <w:rFonts w:ascii="Bahnschrift Light" w:hAnsi="Bahnschrift Light"/>
          <w:sz w:val="24"/>
          <w:szCs w:val="24"/>
        </w:rPr>
        <w:t>sprzyjające równowadze między życiem zawodowym a prywatnym, umożliwiające dbanie o zdrowie, bezpieczeństwo i dobrostan bez negatywnego wpływu na rozwój kariery naukowej</w:t>
      </w:r>
      <w:r w:rsidR="009D5E8C" w:rsidRPr="004B6B00">
        <w:rPr>
          <w:rFonts w:ascii="Bahnschrift Light" w:hAnsi="Bahnschrift Light"/>
          <w:sz w:val="24"/>
          <w:szCs w:val="24"/>
        </w:rPr>
        <w:t xml:space="preserve"> </w:t>
      </w:r>
      <w:r w:rsidRPr="004B6B00">
        <w:rPr>
          <w:rFonts w:ascii="Bahnschrift Light" w:hAnsi="Bahnschrift Light"/>
          <w:sz w:val="24"/>
          <w:szCs w:val="24"/>
        </w:rPr>
        <w:t>87</w:t>
      </w:r>
      <w:r w:rsidR="003B1FCF" w:rsidRPr="004B6B00">
        <w:rPr>
          <w:rFonts w:ascii="Bahnschrift Light" w:hAnsi="Bahnschrift Light"/>
          <w:sz w:val="24"/>
          <w:szCs w:val="24"/>
        </w:rPr>
        <w:t>.</w:t>
      </w:r>
      <w:r w:rsidRPr="004B6B00">
        <w:rPr>
          <w:rFonts w:ascii="Bahnschrift Light" w:hAnsi="Bahnschrift Light"/>
          <w:sz w:val="24"/>
          <w:szCs w:val="24"/>
        </w:rPr>
        <w:t xml:space="preserve">7 % naukowców biorących udział w badaniu oceniło, że </w:t>
      </w:r>
      <w:r w:rsidR="009807E1" w:rsidRPr="00F317A2">
        <w:rPr>
          <w:rFonts w:ascii="Bahnschrift Light" w:hAnsi="Bahnschrift Light"/>
          <w:sz w:val="24"/>
          <w:szCs w:val="24"/>
        </w:rPr>
        <w:t xml:space="preserve">Instytut oferuje </w:t>
      </w:r>
      <w:r w:rsidRPr="004B6B00">
        <w:rPr>
          <w:rFonts w:ascii="Bahnschrift Light" w:hAnsi="Bahnschrift Light"/>
          <w:sz w:val="24"/>
          <w:szCs w:val="24"/>
        </w:rPr>
        <w:t xml:space="preserve">stymulujące środowisko badań, zapewnia odpowiedni sprzęt, </w:t>
      </w:r>
      <w:r w:rsidR="009807E1">
        <w:rPr>
          <w:rFonts w:ascii="Bahnschrift Light" w:hAnsi="Bahnschrift Light"/>
          <w:sz w:val="24"/>
          <w:szCs w:val="24"/>
        </w:rPr>
        <w:t>infrastrukturę</w:t>
      </w:r>
      <w:r w:rsidR="009807E1" w:rsidRPr="004B6B00">
        <w:rPr>
          <w:rFonts w:ascii="Bahnschrift Light" w:hAnsi="Bahnschrift Light"/>
          <w:sz w:val="24"/>
          <w:szCs w:val="24"/>
        </w:rPr>
        <w:t xml:space="preserve"> </w:t>
      </w:r>
      <w:r w:rsidRPr="004B6B00">
        <w:rPr>
          <w:rFonts w:ascii="Bahnschrift Light" w:hAnsi="Bahnschrift Light"/>
          <w:sz w:val="24"/>
          <w:szCs w:val="24"/>
        </w:rPr>
        <w:t xml:space="preserve">i możliwości </w:t>
      </w:r>
      <w:proofErr w:type="spellStart"/>
      <w:r w:rsidR="009807E1" w:rsidRPr="004B6B00">
        <w:rPr>
          <w:rFonts w:ascii="Bahnschrift Light" w:hAnsi="Bahnschrift Light"/>
          <w:sz w:val="24"/>
          <w:szCs w:val="24"/>
        </w:rPr>
        <w:t>współprac</w:t>
      </w:r>
      <w:r w:rsidR="009807E1">
        <w:rPr>
          <w:rFonts w:ascii="Bahnschrift Light" w:hAnsi="Bahnschrift Light"/>
          <w:sz w:val="24"/>
          <w:szCs w:val="24"/>
        </w:rPr>
        <w:t>y</w:t>
      </w:r>
      <w:r w:rsidRPr="004B6B00">
        <w:rPr>
          <w:rFonts w:ascii="Bahnschrift Light" w:hAnsi="Bahnschrift Light"/>
          <w:sz w:val="24"/>
          <w:szCs w:val="24"/>
        </w:rPr>
        <w:t>,oraz</w:t>
      </w:r>
      <w:proofErr w:type="spellEnd"/>
      <w:r w:rsidRPr="004B6B00">
        <w:rPr>
          <w:rFonts w:ascii="Bahnschrift Light" w:hAnsi="Bahnschrift Light"/>
          <w:sz w:val="24"/>
          <w:szCs w:val="24"/>
        </w:rPr>
        <w:t xml:space="preserve"> najwyższy poziom zdrowia i bezpieczeństwa.</w:t>
      </w:r>
    </w:p>
    <w:p w14:paraId="398A874A" w14:textId="77777777" w:rsidR="00BF4CE5" w:rsidRPr="004B6B00" w:rsidRDefault="00BF4CE5" w:rsidP="006710C8">
      <w:pPr>
        <w:jc w:val="both"/>
        <w:rPr>
          <w:rFonts w:ascii="Bahnschrift Light" w:hAnsi="Bahnschrift Light"/>
          <w:sz w:val="24"/>
          <w:szCs w:val="24"/>
        </w:rPr>
      </w:pPr>
    </w:p>
    <w:p w14:paraId="3B5240A1" w14:textId="03BA6896" w:rsidR="00BF4CE5" w:rsidRPr="004B6B00" w:rsidRDefault="00BF4CE5" w:rsidP="006710C8">
      <w:pPr>
        <w:jc w:val="both"/>
        <w:rPr>
          <w:rFonts w:ascii="Bahnschrift Light" w:hAnsi="Bahnschrift Light"/>
          <w:sz w:val="24"/>
          <w:szCs w:val="24"/>
        </w:rPr>
      </w:pPr>
      <w:r w:rsidRPr="004B6B00">
        <w:rPr>
          <w:rFonts w:ascii="Bahnschrift Light" w:hAnsi="Bahnschrift Light"/>
          <w:sz w:val="24"/>
          <w:szCs w:val="24"/>
        </w:rPr>
        <w:t>9</w:t>
      </w:r>
      <w:r w:rsidR="00B83174" w:rsidRPr="004B6B00">
        <w:rPr>
          <w:rFonts w:ascii="Bahnschrift Light" w:hAnsi="Bahnschrift Light"/>
          <w:sz w:val="24"/>
          <w:szCs w:val="24"/>
        </w:rPr>
        <w:t>5.2</w:t>
      </w:r>
      <w:r w:rsidRPr="004B6B00">
        <w:rPr>
          <w:rFonts w:ascii="Bahnschrift Light" w:hAnsi="Bahnschrift Light"/>
          <w:sz w:val="24"/>
          <w:szCs w:val="24"/>
        </w:rPr>
        <w:t xml:space="preserve">% </w:t>
      </w:r>
      <w:r w:rsidR="009807E1">
        <w:rPr>
          <w:rFonts w:ascii="Bahnschrift Light" w:hAnsi="Bahnschrift Light"/>
          <w:sz w:val="24"/>
          <w:szCs w:val="24"/>
        </w:rPr>
        <w:t>ankietowanych</w:t>
      </w:r>
      <w:r w:rsidR="009807E1" w:rsidRPr="004B6B00">
        <w:rPr>
          <w:rFonts w:ascii="Bahnschrift Light" w:hAnsi="Bahnschrift Light"/>
          <w:sz w:val="24"/>
          <w:szCs w:val="24"/>
        </w:rPr>
        <w:t xml:space="preserve"> </w:t>
      </w:r>
      <w:r w:rsidRPr="004B6B00">
        <w:rPr>
          <w:rFonts w:ascii="Bahnschrift Light" w:hAnsi="Bahnschrift Light"/>
          <w:color w:val="202124"/>
          <w:spacing w:val="3"/>
          <w:sz w:val="24"/>
          <w:szCs w:val="24"/>
          <w:shd w:val="clear" w:color="auto" w:fill="FFFFFF"/>
        </w:rPr>
        <w:t xml:space="preserve">wie, że w Instytucie funkcjonuje instytucja „osoby zaufania”, która rozpatruje m.in. skargi/apelacje naukowców, w tym także kwestie dotyczące konfliktów między </w:t>
      </w:r>
      <w:r w:rsidR="009807E1">
        <w:rPr>
          <w:rFonts w:ascii="Bahnschrift Light" w:hAnsi="Bahnschrift Light"/>
          <w:color w:val="202124"/>
          <w:spacing w:val="3"/>
          <w:sz w:val="24"/>
          <w:szCs w:val="24"/>
          <w:shd w:val="clear" w:color="auto" w:fill="FFFFFF"/>
        </w:rPr>
        <w:t>nimi.</w:t>
      </w:r>
    </w:p>
    <w:p w14:paraId="213AA951" w14:textId="77777777" w:rsidR="006C0A84" w:rsidRDefault="00E85BAC" w:rsidP="006710C8">
      <w:pPr>
        <w:jc w:val="both"/>
        <w:rPr>
          <w:rFonts w:ascii="Bahnschrift Light" w:hAnsi="Bahnschrift Light"/>
          <w:sz w:val="24"/>
          <w:szCs w:val="24"/>
        </w:rPr>
      </w:pPr>
      <w:r w:rsidRPr="004B6B00">
        <w:rPr>
          <w:rFonts w:ascii="Bahnschrift Light" w:hAnsi="Bahnschrift Light"/>
          <w:sz w:val="24"/>
          <w:szCs w:val="24"/>
        </w:rPr>
        <w:t>33</w:t>
      </w:r>
      <w:r w:rsidR="00B83174" w:rsidRPr="004B6B00">
        <w:rPr>
          <w:rFonts w:ascii="Bahnschrift Light" w:hAnsi="Bahnschrift Light"/>
          <w:sz w:val="24"/>
          <w:szCs w:val="24"/>
        </w:rPr>
        <w:t>.7</w:t>
      </w:r>
      <w:r w:rsidRPr="004B6B00">
        <w:rPr>
          <w:rFonts w:ascii="Bahnschrift Light" w:hAnsi="Bahnschrift Light"/>
          <w:sz w:val="24"/>
          <w:szCs w:val="24"/>
        </w:rPr>
        <w:t xml:space="preserve"> % naukowców nie </w:t>
      </w:r>
      <w:r w:rsidR="009807E1">
        <w:rPr>
          <w:rFonts w:ascii="Bahnschrift Light" w:hAnsi="Bahnschrift Light"/>
          <w:sz w:val="24"/>
          <w:szCs w:val="24"/>
        </w:rPr>
        <w:t>angażuje się</w:t>
      </w:r>
      <w:r w:rsidRPr="004B6B00">
        <w:rPr>
          <w:rFonts w:ascii="Bahnschrift Light" w:hAnsi="Bahnschrift Light"/>
          <w:sz w:val="24"/>
          <w:szCs w:val="24"/>
        </w:rPr>
        <w:t xml:space="preserve"> w </w:t>
      </w:r>
      <w:r w:rsidR="009807E1">
        <w:rPr>
          <w:rFonts w:ascii="Bahnschrift Light" w:hAnsi="Bahnschrift Light"/>
          <w:sz w:val="24"/>
          <w:szCs w:val="24"/>
        </w:rPr>
        <w:t>popularyzację nauki</w:t>
      </w:r>
      <w:r w:rsidRPr="004B6B00">
        <w:rPr>
          <w:rFonts w:ascii="Bahnschrift Light" w:hAnsi="Bahnschrift Light"/>
          <w:sz w:val="24"/>
          <w:szCs w:val="24"/>
        </w:rPr>
        <w:t xml:space="preserve"> </w:t>
      </w:r>
      <w:r w:rsidR="009807E1" w:rsidRPr="00F317A2">
        <w:rPr>
          <w:rFonts w:ascii="Bahnschrift Light" w:hAnsi="Bahnschrift Light"/>
          <w:sz w:val="24"/>
          <w:szCs w:val="24"/>
        </w:rPr>
        <w:t>co stanowi sygnał dla Instytutu, aby podjął działania wspierające aktywność naukowców w tym zakresie i promowanie ich zaangażowania społecznego.</w:t>
      </w:r>
      <w:r w:rsidR="00F317A2" w:rsidRPr="00F317A2">
        <w:rPr>
          <w:rFonts w:ascii="Bahnschrift Light" w:hAnsi="Bahnschrift Light"/>
          <w:sz w:val="24"/>
          <w:szCs w:val="24"/>
        </w:rPr>
        <w:t xml:space="preserve"> </w:t>
      </w:r>
    </w:p>
    <w:p w14:paraId="21314E8E" w14:textId="77777777" w:rsidR="006C0A84" w:rsidRDefault="006C0A84" w:rsidP="006710C8">
      <w:pPr>
        <w:jc w:val="both"/>
        <w:rPr>
          <w:rFonts w:ascii="Bahnschrift Light" w:hAnsi="Bahnschrift Light"/>
          <w:sz w:val="24"/>
          <w:szCs w:val="24"/>
        </w:rPr>
      </w:pPr>
    </w:p>
    <w:p w14:paraId="76B14038" w14:textId="627E4531" w:rsidR="00C6563B" w:rsidRPr="004B6B00" w:rsidRDefault="00C6563B" w:rsidP="006C0A84">
      <w:pPr>
        <w:pStyle w:val="Nagwek1"/>
      </w:pPr>
      <w:bookmarkStart w:id="44" w:name="_Toc189226064"/>
      <w:r w:rsidRPr="004B6B00">
        <w:lastRenderedPageBreak/>
        <w:t>4 FILAR</w:t>
      </w:r>
      <w:bookmarkEnd w:id="44"/>
    </w:p>
    <w:p w14:paraId="4E3A8A9E" w14:textId="50355429" w:rsidR="006F44A2" w:rsidRPr="004B6B00" w:rsidRDefault="004B6B00" w:rsidP="006C0A84">
      <w:pPr>
        <w:pStyle w:val="Nagwek1"/>
      </w:pPr>
      <w:bookmarkStart w:id="45" w:name="_Hlk182481737"/>
      <w:bookmarkStart w:id="46" w:name="_Toc189226065"/>
      <w:r w:rsidRPr="004B6B00">
        <w:t>Kariera naukowa i rozwój talentów</w:t>
      </w:r>
      <w:bookmarkEnd w:id="46"/>
    </w:p>
    <w:bookmarkEnd w:id="45"/>
    <w:p w14:paraId="77043BCF" w14:textId="77777777" w:rsidR="00AD4CC1" w:rsidRPr="004B6B00" w:rsidRDefault="00AD4CC1" w:rsidP="006710C8">
      <w:pPr>
        <w:jc w:val="both"/>
        <w:rPr>
          <w:rFonts w:ascii="Bahnschrift Light" w:hAnsi="Bahnschrift Light"/>
          <w:sz w:val="24"/>
          <w:szCs w:val="24"/>
        </w:rPr>
      </w:pPr>
    </w:p>
    <w:p w14:paraId="1545BEC3" w14:textId="7269722C" w:rsidR="006F44A2" w:rsidRDefault="006F44A2" w:rsidP="006C0A84">
      <w:pPr>
        <w:pStyle w:val="Nagwek2"/>
        <w:numPr>
          <w:ilvl w:val="0"/>
          <w:numId w:val="22"/>
        </w:numPr>
      </w:pPr>
      <w:bookmarkStart w:id="47" w:name="_Hlk182481763"/>
      <w:bookmarkStart w:id="48" w:name="_Toc189226066"/>
      <w:r w:rsidRPr="004B6B00">
        <w:t>Ocena różnorodnych karier naukowych</w:t>
      </w:r>
      <w:bookmarkEnd w:id="48"/>
      <w:r w:rsidRPr="004B6B00">
        <w:t xml:space="preserve"> </w:t>
      </w:r>
    </w:p>
    <w:p w14:paraId="524E08A1" w14:textId="77777777" w:rsidR="001003A9" w:rsidRPr="001003A9" w:rsidRDefault="001003A9" w:rsidP="001003A9"/>
    <w:bookmarkEnd w:id="47"/>
    <w:p w14:paraId="5EC9EC70" w14:textId="0C7D3D69" w:rsidR="009B52B5" w:rsidRPr="009B52B5" w:rsidRDefault="00AD4CC1" w:rsidP="009B52B5">
      <w:pPr>
        <w:jc w:val="both"/>
        <w:rPr>
          <w:rFonts w:ascii="Bahnschrift Light" w:hAnsi="Bahnschrift Light"/>
          <w:sz w:val="24"/>
          <w:szCs w:val="24"/>
        </w:rPr>
      </w:pPr>
      <w:r w:rsidRPr="004B6B00">
        <w:rPr>
          <w:rFonts w:ascii="Bahnschrift Light" w:hAnsi="Bahnschrift Light"/>
          <w:sz w:val="24"/>
          <w:szCs w:val="24"/>
        </w:rPr>
        <w:t xml:space="preserve">Pracodawcy i </w:t>
      </w:r>
      <w:proofErr w:type="spellStart"/>
      <w:r w:rsidRPr="004B6B00">
        <w:rPr>
          <w:rFonts w:ascii="Bahnschrift Light" w:hAnsi="Bahnschrift Light"/>
          <w:sz w:val="24"/>
          <w:szCs w:val="24"/>
        </w:rPr>
        <w:t>grantodawcy</w:t>
      </w:r>
      <w:proofErr w:type="spellEnd"/>
      <w:r w:rsidRPr="004B6B00">
        <w:rPr>
          <w:rFonts w:ascii="Bahnschrift Light" w:hAnsi="Bahnschrift Light"/>
          <w:sz w:val="24"/>
          <w:szCs w:val="24"/>
        </w:rPr>
        <w:t xml:space="preserve"> powinni uznać, że</w:t>
      </w:r>
      <w:r w:rsidR="00B83174" w:rsidRPr="004B6B00">
        <w:rPr>
          <w:rFonts w:ascii="Bahnschrift Light" w:hAnsi="Bahnschrift Light"/>
          <w:sz w:val="24"/>
          <w:szCs w:val="24"/>
        </w:rPr>
        <w:t xml:space="preserve"> przebieg</w:t>
      </w:r>
      <w:r w:rsidRPr="004B6B00">
        <w:rPr>
          <w:rFonts w:ascii="Bahnschrift Light" w:hAnsi="Bahnschrift Light"/>
          <w:sz w:val="24"/>
          <w:szCs w:val="24"/>
        </w:rPr>
        <w:t xml:space="preserve"> karier</w:t>
      </w:r>
      <w:r w:rsidR="00B83174" w:rsidRPr="004B6B00">
        <w:rPr>
          <w:rFonts w:ascii="Bahnschrift Light" w:hAnsi="Bahnschrift Light"/>
          <w:sz w:val="24"/>
          <w:szCs w:val="24"/>
        </w:rPr>
        <w:t>y</w:t>
      </w:r>
      <w:r w:rsidRPr="004B6B00">
        <w:rPr>
          <w:rFonts w:ascii="Bahnschrift Light" w:hAnsi="Bahnschrift Light"/>
          <w:sz w:val="24"/>
          <w:szCs w:val="24"/>
        </w:rPr>
        <w:t xml:space="preserve"> </w:t>
      </w:r>
      <w:r w:rsidR="009B52B5" w:rsidRPr="004B6B00">
        <w:rPr>
          <w:rFonts w:ascii="Bahnschrift Light" w:hAnsi="Bahnschrift Light"/>
          <w:sz w:val="24"/>
          <w:szCs w:val="24"/>
        </w:rPr>
        <w:t>naukow</w:t>
      </w:r>
      <w:r w:rsidR="009B52B5">
        <w:rPr>
          <w:rFonts w:ascii="Bahnschrift Light" w:hAnsi="Bahnschrift Light"/>
          <w:sz w:val="24"/>
          <w:szCs w:val="24"/>
        </w:rPr>
        <w:t>ej</w:t>
      </w:r>
      <w:r w:rsidR="009B52B5" w:rsidRPr="004B6B00">
        <w:rPr>
          <w:rFonts w:ascii="Bahnschrift Light" w:hAnsi="Bahnschrift Light"/>
          <w:sz w:val="24"/>
          <w:szCs w:val="24"/>
        </w:rPr>
        <w:t xml:space="preserve"> </w:t>
      </w:r>
      <w:r w:rsidRPr="004B6B00">
        <w:rPr>
          <w:rFonts w:ascii="Bahnschrift Light" w:hAnsi="Bahnschrift Light"/>
          <w:sz w:val="24"/>
          <w:szCs w:val="24"/>
        </w:rPr>
        <w:t xml:space="preserve">może </w:t>
      </w:r>
      <w:r w:rsidR="009B52B5" w:rsidRPr="009B52B5">
        <w:rPr>
          <w:rFonts w:ascii="Bahnschrift Light" w:hAnsi="Bahnschrift Light"/>
          <w:sz w:val="24"/>
          <w:szCs w:val="24"/>
        </w:rPr>
        <w:t xml:space="preserve">przyjmować różnorodne formy, obejmujące zarówno działalność badawczo-naukową, jak i inne funkcje pełnione przez naukowców. Ta różnorodność obejmuje szeroką gamę form mobilności, takich jak mobilność międzynarodowa i krajowa, mobilność międzysektorowa, międzyinstytucjonalna, interdyscyplinarna, </w:t>
      </w:r>
      <w:proofErr w:type="spellStart"/>
      <w:r w:rsidR="009B52B5" w:rsidRPr="009B52B5">
        <w:rPr>
          <w:rFonts w:ascii="Bahnschrift Light" w:hAnsi="Bahnschrift Light"/>
          <w:sz w:val="24"/>
          <w:szCs w:val="24"/>
        </w:rPr>
        <w:t>transdyscyplinarna</w:t>
      </w:r>
      <w:proofErr w:type="spellEnd"/>
      <w:r w:rsidR="009B52B5" w:rsidRPr="009B52B5">
        <w:rPr>
          <w:rFonts w:ascii="Bahnschrift Light" w:hAnsi="Bahnschrift Light"/>
          <w:sz w:val="24"/>
          <w:szCs w:val="24"/>
        </w:rPr>
        <w:t>, a także mobilność wirtualną.</w:t>
      </w:r>
      <w:r w:rsidRPr="004B6B00">
        <w:rPr>
          <w:rFonts w:ascii="Bahnschrift Light" w:hAnsi="Bahnschrift Light"/>
          <w:sz w:val="24"/>
          <w:szCs w:val="24"/>
        </w:rPr>
        <w:t xml:space="preserve">. </w:t>
      </w:r>
      <w:r w:rsidR="009B52B5" w:rsidRPr="009B52B5">
        <w:rPr>
          <w:rFonts w:ascii="Bahnschrift Light" w:hAnsi="Bahnschrift Light"/>
          <w:sz w:val="24"/>
          <w:szCs w:val="24"/>
        </w:rPr>
        <w:t>Oceniając jakość i potencjał kariery naukowców, należy przyjąć podejście uwzględniające talenty, różnorodność doświadczeń i mobilności, a także stosować odpowiedzialne i precyzyjne mierniki oceny. Należy także uwzględnić szeroki wachlarz działań i praktyk, takich jak nauczanie, wzajemna ocena, zarządzanie, przywództwo, nadzór, mentoring, waloryzacja wiedzy, transfer technologii, współpraca z przemysłem, kształtowanie polityki opartej na dowodach, komunikacja naukowa, a także zaangażowanie w otwartą naukę i interdyscyplinarną współpracę.</w:t>
      </w:r>
    </w:p>
    <w:p w14:paraId="2E11EDDE" w14:textId="4B7848C0" w:rsidR="009B52B5" w:rsidRDefault="00AD4CC1" w:rsidP="006710C8">
      <w:pPr>
        <w:jc w:val="both"/>
        <w:rPr>
          <w:rFonts w:ascii="Bahnschrift Light" w:hAnsi="Bahnschrift Light"/>
          <w:sz w:val="24"/>
          <w:szCs w:val="24"/>
        </w:rPr>
      </w:pPr>
      <w:r w:rsidRPr="004B6B00">
        <w:rPr>
          <w:rFonts w:ascii="Bahnschrift Light" w:hAnsi="Bahnschrift Light"/>
          <w:sz w:val="24"/>
          <w:szCs w:val="24"/>
        </w:rPr>
        <w:t xml:space="preserve">Pracodawcy i </w:t>
      </w:r>
      <w:proofErr w:type="spellStart"/>
      <w:r w:rsidRPr="004B6B00">
        <w:rPr>
          <w:rFonts w:ascii="Bahnschrift Light" w:hAnsi="Bahnschrift Light"/>
          <w:sz w:val="24"/>
          <w:szCs w:val="24"/>
        </w:rPr>
        <w:t>grantodawcy</w:t>
      </w:r>
      <w:proofErr w:type="spellEnd"/>
      <w:r w:rsidRPr="004B6B00">
        <w:rPr>
          <w:rFonts w:ascii="Bahnschrift Light" w:hAnsi="Bahnschrift Light"/>
          <w:sz w:val="24"/>
          <w:szCs w:val="24"/>
        </w:rPr>
        <w:t xml:space="preserve"> powinni </w:t>
      </w:r>
      <w:r w:rsidR="009B52B5" w:rsidRPr="009B52B5">
        <w:rPr>
          <w:rFonts w:ascii="Bahnschrift Light" w:hAnsi="Bahnschrift Light"/>
          <w:sz w:val="24"/>
          <w:szCs w:val="24"/>
        </w:rPr>
        <w:t xml:space="preserve">podjąć działania </w:t>
      </w:r>
      <w:r w:rsidRPr="004B6B00">
        <w:rPr>
          <w:rFonts w:ascii="Bahnschrift Light" w:hAnsi="Bahnschrift Light"/>
          <w:sz w:val="24"/>
          <w:szCs w:val="24"/>
        </w:rPr>
        <w:t xml:space="preserve">mające na celu uświadomienie naukowcom, w szczególności na wczesnym etapie kariery, możliwości </w:t>
      </w:r>
      <w:r w:rsidR="009B52B5">
        <w:rPr>
          <w:rFonts w:ascii="Bahnschrift Light" w:hAnsi="Bahnschrift Light"/>
          <w:sz w:val="24"/>
          <w:szCs w:val="24"/>
        </w:rPr>
        <w:t xml:space="preserve">rozwoju zawodowego </w:t>
      </w:r>
      <w:r w:rsidRPr="004B6B00">
        <w:rPr>
          <w:rFonts w:ascii="Bahnschrift Light" w:hAnsi="Bahnschrift Light"/>
          <w:sz w:val="24"/>
          <w:szCs w:val="24"/>
        </w:rPr>
        <w:t>we wszystkich istotnych sektorach</w:t>
      </w:r>
      <w:r w:rsidR="009B52B5">
        <w:rPr>
          <w:rFonts w:ascii="Bahnschrift Light" w:hAnsi="Bahnschrift Light"/>
          <w:sz w:val="24"/>
          <w:szCs w:val="24"/>
        </w:rPr>
        <w:t>.</w:t>
      </w:r>
      <w:r w:rsidR="009B52B5" w:rsidRPr="009B52B5">
        <w:rPr>
          <w:rFonts w:ascii="Bahnschrift Light" w:hAnsi="Bahnschrift Light"/>
          <w:sz w:val="24"/>
          <w:szCs w:val="24"/>
        </w:rPr>
        <w:t xml:space="preserve"> Promowanie kultury dywersyfikacji ścieżek kariery, która sprzyja zarówno rozwojowi zawodowemu, jak i osobistemu, jest niezbędne do zapewnienia pełnego potencjału naukowca. W tym celu należy wdrożyć systemy wsparcia w postaci doradztwa zawodowego, mentoringu oraz innych form pomocy, które będą stymulować mobilność naukowców między różnymi sektorami, dyscyplinami i krajami, a także wspierać rozwój ich działalności gospodarczej.</w:t>
      </w:r>
    </w:p>
    <w:p w14:paraId="5DD8ECA8" w14:textId="6D9A1BD8" w:rsidR="009B52B5" w:rsidRPr="004B6B00" w:rsidRDefault="00AD4CC1" w:rsidP="006710C8">
      <w:pPr>
        <w:jc w:val="both"/>
        <w:rPr>
          <w:rFonts w:ascii="Bahnschrift Light" w:hAnsi="Bahnschrift Light"/>
          <w:sz w:val="24"/>
          <w:szCs w:val="24"/>
        </w:rPr>
      </w:pPr>
      <w:r w:rsidRPr="004B6B00">
        <w:rPr>
          <w:rFonts w:ascii="Bahnschrift Light" w:hAnsi="Bahnschrift Light"/>
          <w:sz w:val="24"/>
          <w:szCs w:val="24"/>
        </w:rPr>
        <w:t xml:space="preserve"> </w:t>
      </w:r>
    </w:p>
    <w:p w14:paraId="2843BDFE" w14:textId="16ADF211" w:rsidR="006F44A2" w:rsidRDefault="006F44A2" w:rsidP="006C0A84">
      <w:pPr>
        <w:pStyle w:val="Nagwek2"/>
        <w:numPr>
          <w:ilvl w:val="0"/>
          <w:numId w:val="22"/>
        </w:numPr>
      </w:pPr>
      <w:bookmarkStart w:id="49" w:name="_Hlk182481910"/>
      <w:bookmarkStart w:id="50" w:name="_Toc189226067"/>
      <w:r w:rsidRPr="004B6B00">
        <w:t>Rozwój kariery zawodowej i doradztwo zawodowe</w:t>
      </w:r>
      <w:bookmarkEnd w:id="50"/>
      <w:r w:rsidRPr="004B6B00">
        <w:t xml:space="preserve"> </w:t>
      </w:r>
    </w:p>
    <w:p w14:paraId="2A2C2708" w14:textId="77777777" w:rsidR="001003A9" w:rsidRPr="001003A9" w:rsidRDefault="001003A9" w:rsidP="001003A9"/>
    <w:bookmarkEnd w:id="49"/>
    <w:p w14:paraId="354BC727" w14:textId="472D99CA" w:rsidR="00100C90" w:rsidRDefault="00AD4CC1" w:rsidP="006710C8">
      <w:pPr>
        <w:jc w:val="both"/>
        <w:rPr>
          <w:rFonts w:ascii="Bahnschrift Light" w:hAnsi="Bahnschrift Light"/>
          <w:sz w:val="24"/>
          <w:szCs w:val="24"/>
        </w:rPr>
      </w:pPr>
      <w:r w:rsidRPr="004B6B00">
        <w:rPr>
          <w:rFonts w:ascii="Bahnschrift Light" w:hAnsi="Bahnschrift Light"/>
          <w:sz w:val="24"/>
          <w:szCs w:val="24"/>
        </w:rPr>
        <w:t xml:space="preserve">Pracodawcy i </w:t>
      </w:r>
      <w:proofErr w:type="spellStart"/>
      <w:r w:rsidRPr="004B6B00">
        <w:rPr>
          <w:rFonts w:ascii="Bahnschrift Light" w:hAnsi="Bahnschrift Light"/>
          <w:sz w:val="24"/>
          <w:szCs w:val="24"/>
        </w:rPr>
        <w:t>grantodawcy</w:t>
      </w:r>
      <w:proofErr w:type="spellEnd"/>
      <w:r w:rsidRPr="004B6B00">
        <w:rPr>
          <w:rFonts w:ascii="Bahnschrift Light" w:hAnsi="Bahnschrift Light"/>
          <w:sz w:val="24"/>
          <w:szCs w:val="24"/>
        </w:rPr>
        <w:t xml:space="preserve"> powinni </w:t>
      </w:r>
      <w:r w:rsidR="009B52B5">
        <w:rPr>
          <w:rFonts w:ascii="Bahnschrift Light" w:hAnsi="Bahnschrift Light"/>
          <w:sz w:val="24"/>
          <w:szCs w:val="24"/>
        </w:rPr>
        <w:t>opracować</w:t>
      </w:r>
      <w:r w:rsidRPr="004B6B00">
        <w:rPr>
          <w:rFonts w:ascii="Bahnschrift Light" w:hAnsi="Bahnschrift Light"/>
          <w:sz w:val="24"/>
          <w:szCs w:val="24"/>
        </w:rPr>
        <w:t xml:space="preserve">,  w ramach polityki zarządzania zasobami ludzkimi, szczegółową strategię rozwoju kariery zawodowej dla naukowców </w:t>
      </w:r>
      <w:r w:rsidR="00100C90" w:rsidRPr="009B52B5">
        <w:rPr>
          <w:rFonts w:ascii="Bahnschrift Light" w:hAnsi="Bahnschrift Light"/>
          <w:sz w:val="24"/>
          <w:szCs w:val="24"/>
        </w:rPr>
        <w:t>obejmującą wszystkie etapy ich kariery</w:t>
      </w:r>
      <w:r w:rsidRPr="004B6B00">
        <w:rPr>
          <w:rFonts w:ascii="Bahnschrift Light" w:hAnsi="Bahnschrift Light"/>
          <w:sz w:val="24"/>
          <w:szCs w:val="24"/>
        </w:rPr>
        <w:t xml:space="preserve">, niezależnie od rodzaju podpisanej umowy, w tym dla naukowców </w:t>
      </w:r>
      <w:r w:rsidR="00100C90" w:rsidRPr="009B52B5">
        <w:rPr>
          <w:rFonts w:ascii="Bahnschrift Light" w:hAnsi="Bahnschrift Light"/>
          <w:sz w:val="24"/>
          <w:szCs w:val="24"/>
        </w:rPr>
        <w:t>zatrudnionych na podstawie umowy o pracę na czas określony</w:t>
      </w:r>
      <w:r w:rsidRPr="004B6B00">
        <w:rPr>
          <w:rFonts w:ascii="Bahnschrift Light" w:hAnsi="Bahnschrift Light"/>
          <w:sz w:val="24"/>
          <w:szCs w:val="24"/>
        </w:rPr>
        <w:t xml:space="preserve">. </w:t>
      </w:r>
      <w:r w:rsidR="00100C90" w:rsidRPr="009B52B5">
        <w:rPr>
          <w:rFonts w:ascii="Bahnschrift Light" w:hAnsi="Bahnschrift Light"/>
          <w:sz w:val="24"/>
          <w:szCs w:val="24"/>
        </w:rPr>
        <w:t>Strategia ta powinna mieć na celu wspieranie naukowców w opracowywaniu indywidualnych planów kariery, które pozwolą określić kluczowe obszary rozwoju, takie jak wymagane szkolenia oraz niezbędne prace badawcze, mające na celu osiągnięcie ich długoterminowych celów zawodowych.</w:t>
      </w:r>
      <w:r w:rsidRPr="004B6B00">
        <w:rPr>
          <w:rFonts w:ascii="Bahnschrift Light" w:hAnsi="Bahnschrift Light"/>
          <w:sz w:val="24"/>
          <w:szCs w:val="24"/>
        </w:rPr>
        <w:t xml:space="preserve"> W strategii tej należy </w:t>
      </w:r>
      <w:r w:rsidR="00100C90">
        <w:rPr>
          <w:rFonts w:ascii="Bahnschrift Light" w:hAnsi="Bahnschrift Light"/>
          <w:sz w:val="24"/>
          <w:szCs w:val="24"/>
        </w:rPr>
        <w:t>zapewnić wsparcie</w:t>
      </w:r>
      <w:r w:rsidRPr="004B6B00">
        <w:rPr>
          <w:rFonts w:ascii="Bahnschrift Light" w:hAnsi="Bahnschrift Light"/>
          <w:sz w:val="24"/>
          <w:szCs w:val="24"/>
        </w:rPr>
        <w:t xml:space="preserve"> mentorów </w:t>
      </w:r>
      <w:r w:rsidR="00100C90">
        <w:rPr>
          <w:rFonts w:ascii="Bahnschrift Light" w:hAnsi="Bahnschrift Light"/>
          <w:sz w:val="24"/>
          <w:szCs w:val="24"/>
        </w:rPr>
        <w:t>w zakresie</w:t>
      </w:r>
      <w:r w:rsidRPr="004B6B00">
        <w:rPr>
          <w:rFonts w:ascii="Bahnschrift Light" w:hAnsi="Bahnschrift Light"/>
          <w:sz w:val="24"/>
          <w:szCs w:val="24"/>
        </w:rPr>
        <w:t xml:space="preserve"> </w:t>
      </w:r>
      <w:r w:rsidR="00100C90" w:rsidRPr="004B6B00">
        <w:rPr>
          <w:rFonts w:ascii="Bahnschrift Light" w:hAnsi="Bahnschrift Light"/>
          <w:sz w:val="24"/>
          <w:szCs w:val="24"/>
        </w:rPr>
        <w:t xml:space="preserve">rozwoju </w:t>
      </w:r>
      <w:r w:rsidRPr="004B6B00">
        <w:rPr>
          <w:rFonts w:ascii="Bahnschrift Light" w:hAnsi="Bahnschrift Light"/>
          <w:sz w:val="24"/>
          <w:szCs w:val="24"/>
        </w:rPr>
        <w:t>osobistego i zawodowego naukowców</w:t>
      </w:r>
      <w:r w:rsidR="00100C90">
        <w:rPr>
          <w:rFonts w:ascii="Bahnschrift Light" w:hAnsi="Bahnschrift Light"/>
          <w:sz w:val="24"/>
          <w:szCs w:val="24"/>
        </w:rPr>
        <w:t>.</w:t>
      </w:r>
      <w:r w:rsidR="00100C90" w:rsidRPr="00100C90">
        <w:rPr>
          <w:rFonts w:ascii="Bahnschrift Light" w:hAnsi="Bahnschrift Light"/>
          <w:sz w:val="24"/>
          <w:szCs w:val="24"/>
        </w:rPr>
        <w:t xml:space="preserve"> </w:t>
      </w:r>
      <w:r w:rsidR="00100C90" w:rsidRPr="009B52B5">
        <w:rPr>
          <w:rFonts w:ascii="Bahnschrift Light" w:hAnsi="Bahnschrift Light"/>
          <w:sz w:val="24"/>
          <w:szCs w:val="24"/>
        </w:rPr>
        <w:t>Tego rodzaju wsparcie powinno motywować pracowników naukowych, jednocześnie zmniejszając niepewność co do ich przyszłości zawodowej i wzmacniając poczucie bezpieczeństwa zawodowego. Naukowcy powinni mieć obowiązek zapoznania się z tymi przepisami i ustaleniami, a także wykazywać proaktywną postawę, biorąc odpowiedzialność za własny rozwój kariery.</w:t>
      </w:r>
    </w:p>
    <w:p w14:paraId="4D51C99B" w14:textId="3F020461" w:rsidR="00AD4CC1" w:rsidRDefault="00AD4CC1" w:rsidP="006710C8">
      <w:pPr>
        <w:jc w:val="both"/>
        <w:rPr>
          <w:rFonts w:ascii="Bahnschrift Light" w:hAnsi="Bahnschrift Light"/>
          <w:sz w:val="24"/>
          <w:szCs w:val="24"/>
        </w:rPr>
      </w:pPr>
      <w:r w:rsidRPr="004B6B00">
        <w:rPr>
          <w:rFonts w:ascii="Bahnschrift Light" w:hAnsi="Bahnschrift Light"/>
          <w:sz w:val="24"/>
          <w:szCs w:val="24"/>
        </w:rPr>
        <w:t xml:space="preserve">. Pracodawcy i </w:t>
      </w:r>
      <w:proofErr w:type="spellStart"/>
      <w:r w:rsidRPr="004B6B00">
        <w:rPr>
          <w:rFonts w:ascii="Bahnschrift Light" w:hAnsi="Bahnschrift Light"/>
          <w:sz w:val="24"/>
          <w:szCs w:val="24"/>
        </w:rPr>
        <w:t>grantodawcy</w:t>
      </w:r>
      <w:proofErr w:type="spellEnd"/>
      <w:r w:rsidRPr="004B6B00">
        <w:rPr>
          <w:rFonts w:ascii="Bahnschrift Light" w:hAnsi="Bahnschrift Light"/>
          <w:sz w:val="24"/>
          <w:szCs w:val="24"/>
        </w:rPr>
        <w:t xml:space="preserve"> powinni zapewnić naukowcom </w:t>
      </w:r>
      <w:r w:rsidR="00100C90" w:rsidRPr="009B52B5">
        <w:rPr>
          <w:rFonts w:ascii="Bahnschrift Light" w:hAnsi="Bahnschrift Light"/>
          <w:sz w:val="24"/>
          <w:szCs w:val="24"/>
        </w:rPr>
        <w:t xml:space="preserve">dostęp do aktualnego poradnictwa zawodowego, zarówno w ramach instytucji, jak i poprzez współpracę z innymi strukturami, które mogą oferować pomoc w zakresie pośrednictwa pracy. Powinni </w:t>
      </w:r>
      <w:r w:rsidR="00100C90" w:rsidRPr="009B52B5">
        <w:rPr>
          <w:rFonts w:ascii="Bahnschrift Light" w:hAnsi="Bahnschrift Light"/>
          <w:sz w:val="24"/>
          <w:szCs w:val="24"/>
        </w:rPr>
        <w:lastRenderedPageBreak/>
        <w:t>oni również dostarczać informacje, wskazówki i wsparcie, umożliwiające naukowcom rozwój kariery zawodowej, niezależnie od etapu ich kariery oraz rodzaju podpisanej umowy.</w:t>
      </w:r>
      <w:r w:rsidRPr="004B6B00">
        <w:rPr>
          <w:rFonts w:ascii="Bahnschrift Light" w:hAnsi="Bahnschrift Light"/>
          <w:sz w:val="24"/>
          <w:szCs w:val="24"/>
        </w:rPr>
        <w:t>.</w:t>
      </w:r>
    </w:p>
    <w:p w14:paraId="2B137318" w14:textId="7AE221DD" w:rsidR="006F44A2" w:rsidRDefault="006F44A2" w:rsidP="006C0A84">
      <w:pPr>
        <w:pStyle w:val="Nagwek2"/>
        <w:numPr>
          <w:ilvl w:val="0"/>
          <w:numId w:val="22"/>
        </w:numPr>
      </w:pPr>
      <w:bookmarkStart w:id="51" w:name="_Hlk182482663"/>
      <w:bookmarkStart w:id="52" w:name="_Toc189226068"/>
      <w:r w:rsidRPr="004B6B00">
        <w:t>Ustawiczny rozwój zawodowy</w:t>
      </w:r>
      <w:bookmarkEnd w:id="52"/>
      <w:r w:rsidRPr="004B6B00">
        <w:t xml:space="preserve"> </w:t>
      </w:r>
    </w:p>
    <w:p w14:paraId="503A11D2" w14:textId="77777777" w:rsidR="001003A9" w:rsidRPr="001003A9" w:rsidRDefault="001003A9" w:rsidP="001003A9"/>
    <w:bookmarkEnd w:id="51"/>
    <w:p w14:paraId="5D6478EA" w14:textId="48FB9171" w:rsidR="00D26AEE" w:rsidRPr="00D26AEE" w:rsidRDefault="00AD4CC1" w:rsidP="00D26AEE">
      <w:pPr>
        <w:jc w:val="both"/>
        <w:rPr>
          <w:rFonts w:ascii="Bahnschrift Light" w:hAnsi="Bahnschrift Light"/>
          <w:sz w:val="24"/>
          <w:szCs w:val="24"/>
        </w:rPr>
      </w:pPr>
      <w:r w:rsidRPr="004B6B00">
        <w:rPr>
          <w:rFonts w:ascii="Bahnschrift Light" w:hAnsi="Bahnschrift Light"/>
          <w:sz w:val="24"/>
          <w:szCs w:val="24"/>
        </w:rPr>
        <w:t xml:space="preserve">Na wszystkich etapach kariery zawodowej naukowcy powinni aktywnie </w:t>
      </w:r>
      <w:r w:rsidR="00D26AEE" w:rsidRPr="00D26AEE">
        <w:rPr>
          <w:rFonts w:ascii="Bahnschrift Light" w:hAnsi="Bahnschrift Light"/>
          <w:sz w:val="24"/>
          <w:szCs w:val="24"/>
        </w:rPr>
        <w:t>dążyć do rozwoju swoich umiejętności i kwalifikacji</w:t>
      </w:r>
      <w:r w:rsidRPr="004B6B00">
        <w:rPr>
          <w:rFonts w:ascii="Bahnschrift Light" w:hAnsi="Bahnschrift Light"/>
          <w:sz w:val="24"/>
          <w:szCs w:val="24"/>
        </w:rPr>
        <w:t xml:space="preserve">. </w:t>
      </w:r>
      <w:r w:rsidR="00D26AEE" w:rsidRPr="00D26AEE">
        <w:rPr>
          <w:rFonts w:ascii="Bahnschrift Light" w:hAnsi="Bahnschrift Light"/>
          <w:sz w:val="24"/>
          <w:szCs w:val="24"/>
        </w:rPr>
        <w:t xml:space="preserve">Kluczowe jest, aby zarówno pracodawcy, jak i </w:t>
      </w:r>
      <w:proofErr w:type="spellStart"/>
      <w:r w:rsidR="00D26AEE" w:rsidRPr="00D26AEE">
        <w:rPr>
          <w:rFonts w:ascii="Bahnschrift Light" w:hAnsi="Bahnschrift Light"/>
          <w:sz w:val="24"/>
          <w:szCs w:val="24"/>
        </w:rPr>
        <w:t>grantodawcy</w:t>
      </w:r>
      <w:proofErr w:type="spellEnd"/>
      <w:r w:rsidR="00D26AEE" w:rsidRPr="00D26AEE">
        <w:rPr>
          <w:rFonts w:ascii="Bahnschrift Light" w:hAnsi="Bahnschrift Light"/>
          <w:sz w:val="24"/>
          <w:szCs w:val="24"/>
        </w:rPr>
        <w:t xml:space="preserve"> zapewnili im odpowiednie wsparcie w postaci możliwości stałego kształcenia i rozwoju, np. przez formalne szkolenia, warsztaty, konferencje, e-uczenie się czy współpracę w ramach zespołów badawczych. Szczególną uwagę należy zwrócić na wsparcie dla początkujących naukowców (R1), w tym doktorantów, którzy dopiero rozpoczynają swoją karierę i potrzebują dedykowanego wsparcia w zdobywaniu wiedzy oraz rozwoju kompetencji. Ważne jest, by </w:t>
      </w:r>
      <w:proofErr w:type="spellStart"/>
      <w:r w:rsidR="00D26AEE" w:rsidRPr="00D26AEE">
        <w:rPr>
          <w:rFonts w:ascii="Bahnschrift Light" w:hAnsi="Bahnschrift Light"/>
          <w:sz w:val="24"/>
          <w:szCs w:val="24"/>
        </w:rPr>
        <w:t>grantodawcy</w:t>
      </w:r>
      <w:proofErr w:type="spellEnd"/>
      <w:r w:rsidR="00D26AEE" w:rsidRPr="00D26AEE">
        <w:rPr>
          <w:rFonts w:ascii="Bahnschrift Light" w:hAnsi="Bahnschrift Light"/>
          <w:sz w:val="24"/>
          <w:szCs w:val="24"/>
        </w:rPr>
        <w:t xml:space="preserve"> i pracodawcy, niezależnie od rodzaju umowy, zapewnili naukowcom możliwość rozwoju zawodowego oraz doskonalenia swoich umiejętności w ramach dostępnych zasobów. Powinni oni wspierać tworzenie ukierunkowanych programów szkoleniowych, które będą zachęcały do podnoszenia kwalifikacji, rozwijania nowych umiejętności oraz zmiany kwalifikacji w perspektywie uczenia się przez całe życie. Dodatkowo, wspieranie mobilności międzysektorowej, interdyscyplinarnej i geograficznej jest kluczowe dla rozwoju kariery naukowej i zawodowej.</w:t>
      </w:r>
    </w:p>
    <w:p w14:paraId="494E256E" w14:textId="61F38BC1" w:rsidR="00903380" w:rsidRPr="00D26AEE" w:rsidRDefault="00903380" w:rsidP="00903380">
      <w:pPr>
        <w:jc w:val="both"/>
        <w:rPr>
          <w:rFonts w:ascii="Bahnschrift Light" w:hAnsi="Bahnschrift Light"/>
          <w:sz w:val="24"/>
          <w:szCs w:val="24"/>
        </w:rPr>
      </w:pPr>
      <w:r w:rsidRPr="00D26AEE">
        <w:rPr>
          <w:rFonts w:ascii="Bahnschrift Light" w:hAnsi="Bahnschrift Light"/>
          <w:sz w:val="24"/>
          <w:szCs w:val="24"/>
        </w:rPr>
        <w:t xml:space="preserve">Pracodawcy i </w:t>
      </w:r>
      <w:proofErr w:type="spellStart"/>
      <w:r w:rsidRPr="00D26AEE">
        <w:rPr>
          <w:rFonts w:ascii="Bahnschrift Light" w:hAnsi="Bahnschrift Light"/>
          <w:sz w:val="24"/>
          <w:szCs w:val="24"/>
        </w:rPr>
        <w:t>grantodawcy</w:t>
      </w:r>
      <w:proofErr w:type="spellEnd"/>
      <w:r w:rsidRPr="00D26AEE">
        <w:rPr>
          <w:rFonts w:ascii="Bahnschrift Light" w:hAnsi="Bahnschrift Light"/>
          <w:sz w:val="24"/>
          <w:szCs w:val="24"/>
        </w:rPr>
        <w:t xml:space="preserve"> powinni regularnie oceniać skuteczność tych działań, sprawdzając dostępność szkoleń, ich atrakcyjność dla naukowców oraz efektywność w zakresie podnoszenia kwalifikacji i zwiększania szans zatrudnienia. Ważnym aspektem jest również wspieranie naukowców w zakresie przedsiębiorczości, co pozwoli na łączenie zdolności twórczych z umiejętnościami komercjalizacji innowacyjnych pomysłów i wspierania rozwoju innowacji.</w:t>
      </w:r>
    </w:p>
    <w:p w14:paraId="132083E7" w14:textId="77777777" w:rsidR="00903380" w:rsidRPr="004B6B00" w:rsidRDefault="00903380" w:rsidP="00903380">
      <w:pPr>
        <w:jc w:val="both"/>
        <w:rPr>
          <w:rFonts w:ascii="Bahnschrift Light" w:hAnsi="Bahnschrift Light"/>
          <w:sz w:val="24"/>
          <w:szCs w:val="24"/>
        </w:rPr>
      </w:pPr>
      <w:r w:rsidRPr="00D26AEE">
        <w:rPr>
          <w:rFonts w:ascii="Bahnschrift Light" w:hAnsi="Bahnschrift Light"/>
          <w:sz w:val="24"/>
          <w:szCs w:val="24"/>
        </w:rPr>
        <w:t xml:space="preserve">Ponadto, dla doktorantów i młodszych naukowców, ważne jest, aby ich kształcenie i szkolenie były kompatybilne z wymogami </w:t>
      </w:r>
      <w:proofErr w:type="spellStart"/>
      <w:r w:rsidRPr="00D26AEE">
        <w:rPr>
          <w:rFonts w:ascii="Bahnschrift Light" w:hAnsi="Bahnschrift Light"/>
          <w:sz w:val="24"/>
          <w:szCs w:val="24"/>
        </w:rPr>
        <w:t>interoperacyjnych</w:t>
      </w:r>
      <w:proofErr w:type="spellEnd"/>
      <w:r w:rsidRPr="00D26AEE">
        <w:rPr>
          <w:rFonts w:ascii="Bahnschrift Light" w:hAnsi="Bahnschrift Light"/>
          <w:sz w:val="24"/>
          <w:szCs w:val="24"/>
        </w:rPr>
        <w:t xml:space="preserve"> karier we wszystkich odpowiednich sektorach. Należy dążyć do tego, aby przyszłe programy kształcenia i rozwoju były zgodne z europejskimi ramami kompetencji dla naukowców (</w:t>
      </w:r>
      <w:proofErr w:type="spellStart"/>
      <w:r w:rsidRPr="00D26AEE">
        <w:rPr>
          <w:rFonts w:ascii="Bahnschrift Light" w:hAnsi="Bahnschrift Light"/>
          <w:sz w:val="24"/>
          <w:szCs w:val="24"/>
        </w:rPr>
        <w:t>ResearchComp</w:t>
      </w:r>
      <w:proofErr w:type="spellEnd"/>
      <w:r w:rsidRPr="00D26AEE">
        <w:rPr>
          <w:rFonts w:ascii="Bahnschrift Light" w:hAnsi="Bahnschrift Light"/>
          <w:sz w:val="24"/>
          <w:szCs w:val="24"/>
        </w:rPr>
        <w:t>), zasadami innowacyjnego szkolenia doktorantów, Europejskim kodeksem postępowania w zakresie rzetelności badawczej oraz innymi inicjatywami, które będą miały na celu zwiększenie umiejętności przekrojowych i wszechstronnych kompetencji naukowców. Wspieranie takich inicjatyw pozwala na lepsze przygotowanie naukowców do wymagań rynku pracy i realiów nowoczesnej nauki.</w:t>
      </w:r>
    </w:p>
    <w:p w14:paraId="1680248E" w14:textId="77777777" w:rsidR="001003A9" w:rsidRDefault="001003A9" w:rsidP="006710C8">
      <w:pPr>
        <w:jc w:val="both"/>
        <w:rPr>
          <w:rFonts w:ascii="Bahnschrift Light" w:hAnsi="Bahnschrift Light"/>
          <w:sz w:val="24"/>
          <w:szCs w:val="24"/>
        </w:rPr>
      </w:pPr>
    </w:p>
    <w:p w14:paraId="7E6D06F2" w14:textId="03E8D6AC" w:rsidR="0084103C" w:rsidRPr="004B6B00" w:rsidRDefault="00AD4CC1" w:rsidP="006710C8">
      <w:pPr>
        <w:jc w:val="both"/>
        <w:rPr>
          <w:rFonts w:ascii="Bahnschrift Light" w:hAnsi="Bahnschrift Light"/>
          <w:sz w:val="24"/>
          <w:szCs w:val="24"/>
        </w:rPr>
      </w:pPr>
      <w:r w:rsidRPr="004B6B00">
        <w:rPr>
          <w:rFonts w:ascii="Bahnschrift Light" w:hAnsi="Bahnschrift Light"/>
          <w:sz w:val="24"/>
          <w:szCs w:val="24"/>
        </w:rPr>
        <w:t xml:space="preserve">Walidacja umiejętności </w:t>
      </w:r>
    </w:p>
    <w:p w14:paraId="4938378C" w14:textId="47378EFC" w:rsidR="00C47435" w:rsidRDefault="00AD4CC1" w:rsidP="006710C8">
      <w:pPr>
        <w:jc w:val="both"/>
        <w:rPr>
          <w:rFonts w:ascii="Bahnschrift Light" w:hAnsi="Bahnschrift Light"/>
          <w:sz w:val="24"/>
          <w:szCs w:val="24"/>
        </w:rPr>
      </w:pPr>
      <w:r w:rsidRPr="004B6B00">
        <w:rPr>
          <w:rFonts w:ascii="Bahnschrift Light" w:hAnsi="Bahnschrift Light"/>
          <w:sz w:val="24"/>
          <w:szCs w:val="24"/>
        </w:rPr>
        <w:t xml:space="preserve">W ramach </w:t>
      </w:r>
      <w:r w:rsidR="00FE2723" w:rsidRPr="00FE2723">
        <w:rPr>
          <w:rFonts w:ascii="Bahnschrift Light" w:hAnsi="Bahnschrift Light"/>
          <w:sz w:val="24"/>
          <w:szCs w:val="24"/>
        </w:rPr>
        <w:t xml:space="preserve">wspierania rozwoju </w:t>
      </w:r>
      <w:r w:rsidRPr="004B6B00">
        <w:rPr>
          <w:rFonts w:ascii="Bahnschrift Light" w:hAnsi="Bahnschrift Light"/>
          <w:sz w:val="24"/>
          <w:szCs w:val="24"/>
        </w:rPr>
        <w:t xml:space="preserve">umiejętności naukowców pracodawcy i </w:t>
      </w:r>
      <w:proofErr w:type="spellStart"/>
      <w:r w:rsidRPr="004B6B00">
        <w:rPr>
          <w:rFonts w:ascii="Bahnschrift Light" w:hAnsi="Bahnschrift Light"/>
          <w:sz w:val="24"/>
          <w:szCs w:val="24"/>
        </w:rPr>
        <w:t>grantodawcy</w:t>
      </w:r>
      <w:proofErr w:type="spellEnd"/>
      <w:r w:rsidRPr="004B6B00">
        <w:rPr>
          <w:rFonts w:ascii="Bahnschrift Light" w:hAnsi="Bahnschrift Light"/>
          <w:sz w:val="24"/>
          <w:szCs w:val="24"/>
        </w:rPr>
        <w:t xml:space="preserve"> powinni zapewnić </w:t>
      </w:r>
      <w:r w:rsidR="00C47435" w:rsidRPr="00FE2723">
        <w:rPr>
          <w:rFonts w:ascii="Bahnschrift Light" w:hAnsi="Bahnschrift Light"/>
          <w:sz w:val="24"/>
          <w:szCs w:val="24"/>
        </w:rPr>
        <w:t xml:space="preserve">systematyczną i kompleksową </w:t>
      </w:r>
      <w:r w:rsidRPr="004B6B00">
        <w:rPr>
          <w:rFonts w:ascii="Bahnschrift Light" w:hAnsi="Bahnschrift Light"/>
          <w:sz w:val="24"/>
          <w:szCs w:val="24"/>
        </w:rPr>
        <w:t xml:space="preserve">ocenę </w:t>
      </w:r>
      <w:r w:rsidR="00C47435" w:rsidRPr="00FE2723">
        <w:rPr>
          <w:rFonts w:ascii="Bahnschrift Light" w:hAnsi="Bahnschrift Light"/>
          <w:sz w:val="24"/>
          <w:szCs w:val="24"/>
        </w:rPr>
        <w:t xml:space="preserve">zarówno formalnych, jak i nieformalnych form </w:t>
      </w:r>
      <w:proofErr w:type="spellStart"/>
      <w:r w:rsidR="00C47435" w:rsidRPr="00FE2723">
        <w:rPr>
          <w:rFonts w:ascii="Bahnschrift Light" w:hAnsi="Bahnschrift Light"/>
          <w:sz w:val="24"/>
          <w:szCs w:val="24"/>
        </w:rPr>
        <w:t>szkolenia</w:t>
      </w:r>
      <w:r w:rsidR="00C47435">
        <w:rPr>
          <w:rFonts w:ascii="Bahnschrift Light" w:hAnsi="Bahnschrift Light"/>
          <w:sz w:val="24"/>
          <w:szCs w:val="24"/>
        </w:rPr>
        <w:t>.</w:t>
      </w:r>
      <w:r w:rsidR="00C47435" w:rsidRPr="00FE2723">
        <w:rPr>
          <w:rFonts w:ascii="Bahnschrift Light" w:hAnsi="Bahnschrift Light"/>
          <w:sz w:val="24"/>
          <w:szCs w:val="24"/>
        </w:rPr>
        <w:t>W</w:t>
      </w:r>
      <w:proofErr w:type="spellEnd"/>
      <w:r w:rsidR="00C47435" w:rsidRPr="00FE2723">
        <w:rPr>
          <w:rFonts w:ascii="Bahnschrift Light" w:hAnsi="Bahnschrift Light"/>
          <w:sz w:val="24"/>
          <w:szCs w:val="24"/>
        </w:rPr>
        <w:t xml:space="preserve"> szczególności istotne jest uwzględnienie szkoleń odbywających się w miejscu pracy, które mogą przyczynić się do rozwoju umiejętności praktycznych i zawodowych naukowców.</w:t>
      </w:r>
      <w:r w:rsidR="00C47435" w:rsidRPr="00C47435">
        <w:rPr>
          <w:rFonts w:ascii="Bahnschrift Light" w:hAnsi="Bahnschrift Light"/>
          <w:sz w:val="24"/>
          <w:szCs w:val="24"/>
        </w:rPr>
        <w:t xml:space="preserve"> </w:t>
      </w:r>
      <w:r w:rsidR="00C47435" w:rsidRPr="00FE2723">
        <w:rPr>
          <w:rFonts w:ascii="Bahnschrift Light" w:hAnsi="Bahnschrift Light"/>
          <w:sz w:val="24"/>
          <w:szCs w:val="24"/>
        </w:rPr>
        <w:t xml:space="preserve">Ocena powinna obejmować wszystkie aspekty związane z mobilnością – międzynarodową, międzysektorową oraz interdyscyplinarną – które są kluczowe dla kształtowania kariery naukowej w kontekście globalnym i wielosektorowym. Przeprowadzając taką ocenę, pracodawcy i </w:t>
      </w:r>
      <w:proofErr w:type="spellStart"/>
      <w:r w:rsidR="00C47435" w:rsidRPr="00FE2723">
        <w:rPr>
          <w:rFonts w:ascii="Bahnschrift Light" w:hAnsi="Bahnschrift Light"/>
          <w:sz w:val="24"/>
          <w:szCs w:val="24"/>
        </w:rPr>
        <w:t>grantodawcy</w:t>
      </w:r>
      <w:proofErr w:type="spellEnd"/>
      <w:r w:rsidR="00C47435" w:rsidRPr="00FE2723">
        <w:rPr>
          <w:rFonts w:ascii="Bahnschrift Light" w:hAnsi="Bahnschrift Light"/>
          <w:sz w:val="24"/>
          <w:szCs w:val="24"/>
        </w:rPr>
        <w:t xml:space="preserve"> powinni zadbać o jej sprawiedliwość, przejrzystość oraz adekwatność,</w:t>
      </w:r>
    </w:p>
    <w:p w14:paraId="252D6A80" w14:textId="4D072B89" w:rsidR="00FE2723" w:rsidRDefault="00FE2723" w:rsidP="006710C8">
      <w:pPr>
        <w:jc w:val="both"/>
        <w:rPr>
          <w:rFonts w:ascii="Bahnschrift Light" w:hAnsi="Bahnschrift Light"/>
          <w:sz w:val="24"/>
          <w:szCs w:val="24"/>
        </w:rPr>
      </w:pPr>
    </w:p>
    <w:p w14:paraId="271DF958" w14:textId="77777777" w:rsidR="001003A9" w:rsidRPr="004B6B00" w:rsidRDefault="001003A9" w:rsidP="006710C8">
      <w:pPr>
        <w:jc w:val="both"/>
        <w:rPr>
          <w:rFonts w:ascii="Bahnschrift Light" w:hAnsi="Bahnschrift Light"/>
          <w:sz w:val="24"/>
          <w:szCs w:val="24"/>
        </w:rPr>
      </w:pPr>
    </w:p>
    <w:p w14:paraId="086CCB56" w14:textId="50C14528" w:rsidR="0084103C" w:rsidRPr="004B6B00" w:rsidRDefault="00AD4CC1" w:rsidP="006710C8">
      <w:pPr>
        <w:jc w:val="both"/>
        <w:rPr>
          <w:rFonts w:ascii="Bahnschrift Light" w:hAnsi="Bahnschrift Light"/>
          <w:sz w:val="24"/>
          <w:szCs w:val="24"/>
        </w:rPr>
      </w:pPr>
      <w:r w:rsidRPr="004B6B00">
        <w:rPr>
          <w:rFonts w:ascii="Bahnschrift Light" w:hAnsi="Bahnschrift Light"/>
          <w:sz w:val="24"/>
          <w:szCs w:val="24"/>
        </w:rPr>
        <w:lastRenderedPageBreak/>
        <w:t xml:space="preserve">Nauczanie </w:t>
      </w:r>
    </w:p>
    <w:p w14:paraId="10454DD2" w14:textId="63586309" w:rsidR="00C47435" w:rsidRDefault="00C47435" w:rsidP="00C47435">
      <w:pPr>
        <w:jc w:val="both"/>
        <w:rPr>
          <w:rFonts w:ascii="Bahnschrift Light" w:hAnsi="Bahnschrift Light"/>
          <w:sz w:val="24"/>
          <w:szCs w:val="24"/>
        </w:rPr>
      </w:pPr>
      <w:r w:rsidRPr="00C47435">
        <w:rPr>
          <w:rFonts w:ascii="Bahnschrift Light" w:hAnsi="Bahnschrift Light"/>
          <w:sz w:val="24"/>
          <w:szCs w:val="24"/>
        </w:rPr>
        <w:t xml:space="preserve">Nauczanie jest kluczowym elementem kariery naukowej, wspierającym rozwój wiedzy i zainteresowanie badaniami wśród studentów. Pracodawcy i </w:t>
      </w:r>
      <w:proofErr w:type="spellStart"/>
      <w:r w:rsidRPr="00C47435">
        <w:rPr>
          <w:rFonts w:ascii="Bahnschrift Light" w:hAnsi="Bahnschrift Light"/>
          <w:sz w:val="24"/>
          <w:szCs w:val="24"/>
        </w:rPr>
        <w:t>grantodawcy</w:t>
      </w:r>
      <w:proofErr w:type="spellEnd"/>
      <w:r w:rsidRPr="00C47435">
        <w:rPr>
          <w:rFonts w:ascii="Bahnschrift Light" w:hAnsi="Bahnschrift Light"/>
          <w:sz w:val="24"/>
          <w:szCs w:val="24"/>
        </w:rPr>
        <w:t xml:space="preserve"> powinni uznawać zaangażowanie naukowców w nauczanie, </w:t>
      </w:r>
      <w:r>
        <w:rPr>
          <w:rFonts w:ascii="Bahnschrift Light" w:hAnsi="Bahnschrift Light"/>
          <w:sz w:val="24"/>
          <w:szCs w:val="24"/>
        </w:rPr>
        <w:t xml:space="preserve">na każdym etapie kariery naukowej, a </w:t>
      </w:r>
      <w:r w:rsidRPr="00C47435">
        <w:rPr>
          <w:rFonts w:ascii="Bahnschrift Light" w:hAnsi="Bahnschrift Light"/>
          <w:sz w:val="24"/>
          <w:szCs w:val="24"/>
        </w:rPr>
        <w:t>szczególnie na wczesnym etapie kariery (R1, R2), dostosowując obowiązki dydaktyczne do ich działalności badawczej. Wszelkie zadania dydaktyczne powinny być odpowiednio wynagradzane oraz uwzględniane w systemach oceny pracowników. Należy zapewnić również odpowiednie szkolenie w zakresie nauczania, aby wspierać rozwój kompetencji dydaktycznych naukowców, w tym mentorów.</w:t>
      </w:r>
    </w:p>
    <w:p w14:paraId="004BDE3A" w14:textId="3EA0205F" w:rsidR="00AD4CC1" w:rsidRDefault="00AD4CC1" w:rsidP="00C47435">
      <w:pPr>
        <w:jc w:val="both"/>
        <w:rPr>
          <w:rFonts w:ascii="Bahnschrift Light" w:hAnsi="Bahnschrift Light"/>
          <w:sz w:val="24"/>
          <w:szCs w:val="24"/>
        </w:rPr>
      </w:pPr>
      <w:r w:rsidRPr="004B6B00">
        <w:rPr>
          <w:rFonts w:ascii="Bahnschrift Light" w:hAnsi="Bahnschrift Light"/>
          <w:sz w:val="24"/>
          <w:szCs w:val="24"/>
        </w:rPr>
        <w:t>zawodowej naukowca. W nauczaniu powinno się czerpać korzyści z wiedzy naukowej i wykorzystywać ją, a także propagować zainteresowanie pracami badawczymi wśród studentów. Należy w pełni wspierać i uznawać zaangażowanie naukowców w nauczanie, które może zmieniać się w różnych momentach kariery zawodowej. Szczególną uwagę należy poświęcić naukowcom.</w:t>
      </w:r>
    </w:p>
    <w:p w14:paraId="1B8CCEDE" w14:textId="77777777" w:rsidR="001003A9" w:rsidRDefault="001003A9" w:rsidP="006C0A84">
      <w:pPr>
        <w:pStyle w:val="Nagwek2"/>
      </w:pPr>
      <w:bookmarkStart w:id="53" w:name="_Hlk182482882"/>
      <w:bookmarkStart w:id="54" w:name="_Toc189226069"/>
    </w:p>
    <w:p w14:paraId="27674CC2" w14:textId="5ECA8CEA" w:rsidR="006F44A2" w:rsidRPr="004B6B00" w:rsidRDefault="006C0A84" w:rsidP="006C0A84">
      <w:pPr>
        <w:pStyle w:val="Nagwek2"/>
      </w:pPr>
      <w:r>
        <w:t>4. N</w:t>
      </w:r>
      <w:r w:rsidR="006F44A2" w:rsidRPr="004B6B00">
        <w:t>adzór naukowy i mentoring</w:t>
      </w:r>
      <w:bookmarkEnd w:id="54"/>
    </w:p>
    <w:bookmarkEnd w:id="53"/>
    <w:p w14:paraId="6A13C472" w14:textId="6DEA8283" w:rsidR="00F029B9" w:rsidRDefault="00F029B9" w:rsidP="006710C8">
      <w:pPr>
        <w:jc w:val="both"/>
        <w:rPr>
          <w:rFonts w:ascii="Bahnschrift Light" w:hAnsi="Bahnschrift Light"/>
          <w:sz w:val="24"/>
          <w:szCs w:val="24"/>
        </w:rPr>
      </w:pPr>
    </w:p>
    <w:p w14:paraId="78382456" w14:textId="56252546" w:rsidR="00C47435" w:rsidRDefault="00C47435" w:rsidP="006710C8">
      <w:pPr>
        <w:jc w:val="both"/>
        <w:rPr>
          <w:rFonts w:ascii="Bahnschrift Light" w:hAnsi="Bahnschrift Light"/>
          <w:sz w:val="24"/>
          <w:szCs w:val="24"/>
        </w:rPr>
      </w:pPr>
      <w:r w:rsidRPr="00C47435">
        <w:rPr>
          <w:rFonts w:ascii="Bahnschrift Light" w:hAnsi="Bahnschrift Light"/>
          <w:sz w:val="24"/>
          <w:szCs w:val="24"/>
        </w:rPr>
        <w:t xml:space="preserve">Odpowiednie zarządzanie zespołami badawczymi jest kluczowe dla efektywności pracy naukowej, która opiera się na współpracy. Pracodawcy powinni zapewnić szkolenia oraz narzędzia umożliwiające naukowcom zarządzanie zespołami w sposób sprawiedliwy, wolny od uprzedzeń (np. płciowych, religijnych, rasowych) i sprzyjający tworzeniu zdrowych, kreatywnych środowisk. W tym celu należy wyznaczyć odpowiednich opiekunów naukowych, którzy posiadają wiedzę ekspercką, czas oraz </w:t>
      </w:r>
      <w:r w:rsidR="00F029B9">
        <w:rPr>
          <w:rFonts w:ascii="Bahnschrift Light" w:hAnsi="Bahnschrift Light"/>
          <w:sz w:val="24"/>
          <w:szCs w:val="24"/>
        </w:rPr>
        <w:t>możliwość odpowiedniego zaangażowania</w:t>
      </w:r>
      <w:r w:rsidRPr="00C47435">
        <w:rPr>
          <w:rFonts w:ascii="Bahnschrift Light" w:hAnsi="Bahnschrift Light"/>
          <w:sz w:val="24"/>
          <w:szCs w:val="24"/>
        </w:rPr>
        <w:t xml:space="preserve">, by skutecznie nadzorować prace badawcze, monitorować postępy oraz zapewniać </w:t>
      </w:r>
      <w:r w:rsidR="00F029B9">
        <w:rPr>
          <w:rFonts w:ascii="Bahnschrift Light" w:hAnsi="Bahnschrift Light"/>
          <w:sz w:val="24"/>
          <w:szCs w:val="24"/>
        </w:rPr>
        <w:t>informację zwrotną</w:t>
      </w:r>
      <w:r w:rsidRPr="00C47435">
        <w:rPr>
          <w:rFonts w:ascii="Bahnschrift Light" w:hAnsi="Bahnschrift Light"/>
          <w:sz w:val="24"/>
          <w:szCs w:val="24"/>
        </w:rPr>
        <w:t>. Ważne jest również wprowadzenie mechanizmów wsparcia w zakresie kariery, rozwiązywania konfliktów oraz rozwoju zawodowego, zgodnie z wytycznymi dotyczącymi nadzoru naukowego w ramach działań MSCA.</w:t>
      </w:r>
    </w:p>
    <w:p w14:paraId="12ADE89B" w14:textId="77777777" w:rsidR="00BA5300" w:rsidRPr="004B6B00" w:rsidRDefault="00AD4CC1" w:rsidP="006710C8">
      <w:pPr>
        <w:jc w:val="both"/>
        <w:rPr>
          <w:rFonts w:ascii="Bahnschrift Light" w:hAnsi="Bahnschrift Light"/>
          <w:sz w:val="24"/>
          <w:szCs w:val="24"/>
        </w:rPr>
      </w:pPr>
      <w:r w:rsidRPr="004B6B00">
        <w:rPr>
          <w:rFonts w:ascii="Bahnschrift Light" w:hAnsi="Bahnschrift Light"/>
          <w:sz w:val="24"/>
          <w:szCs w:val="24"/>
        </w:rPr>
        <w:t>Relacje z opiekunami naukowymi</w:t>
      </w:r>
    </w:p>
    <w:p w14:paraId="19B42338" w14:textId="6B02E2B3" w:rsidR="00AD4CC1" w:rsidRPr="004B6B00" w:rsidRDefault="00F029B9" w:rsidP="006710C8">
      <w:pPr>
        <w:jc w:val="both"/>
        <w:rPr>
          <w:rFonts w:ascii="Bahnschrift Light" w:hAnsi="Bahnschrift Light"/>
          <w:sz w:val="24"/>
          <w:szCs w:val="24"/>
        </w:rPr>
      </w:pPr>
      <w:r w:rsidRPr="00F029B9">
        <w:rPr>
          <w:rFonts w:ascii="Bahnschrift Light" w:hAnsi="Bahnschrift Light"/>
          <w:sz w:val="24"/>
          <w:szCs w:val="24"/>
        </w:rPr>
        <w:t xml:space="preserve">Na etapie szkoleniowym naukowcy powinni mieć regularny kontakt z opiekunem naukowym oraz przedstawicielem kierunku/wydziału. Opiekunowie powinni aktywnie wspierać naukowców na wczesnym etapie kariery, organizując spotkania, udzielając informacji zwrotnych oraz promując działania szkoleniowe związane z pracą badawczą. Wszechstronne wsparcie powinno obejmować rejestrowanie postępów w badaniach, uzyskiwanie informacji zwrotnych poprzez </w:t>
      </w:r>
      <w:r>
        <w:rPr>
          <w:rFonts w:ascii="Bahnschrift Light" w:hAnsi="Bahnschrift Light"/>
          <w:sz w:val="24"/>
          <w:szCs w:val="24"/>
        </w:rPr>
        <w:t>sprawozdania</w:t>
      </w:r>
      <w:r w:rsidRPr="00F029B9">
        <w:rPr>
          <w:rFonts w:ascii="Bahnschrift Light" w:hAnsi="Bahnschrift Light"/>
          <w:sz w:val="24"/>
          <w:szCs w:val="24"/>
        </w:rPr>
        <w:t xml:space="preserve"> i seminaria oraz </w:t>
      </w:r>
      <w:r>
        <w:rPr>
          <w:rFonts w:ascii="Bahnschrift Light" w:hAnsi="Bahnschrift Light"/>
          <w:sz w:val="24"/>
          <w:szCs w:val="24"/>
        </w:rPr>
        <w:t>instruktaż omawiający za</w:t>
      </w:r>
      <w:r w:rsidRPr="00F029B9">
        <w:rPr>
          <w:rFonts w:ascii="Bahnschrift Light" w:hAnsi="Bahnschrift Light"/>
          <w:sz w:val="24"/>
          <w:szCs w:val="24"/>
        </w:rPr>
        <w:t xml:space="preserve">stosowanie tych informacji do realizacji celów badawczych i </w:t>
      </w:r>
      <w:r>
        <w:rPr>
          <w:rFonts w:ascii="Bahnschrift Light" w:hAnsi="Bahnschrift Light"/>
          <w:sz w:val="24"/>
          <w:szCs w:val="24"/>
        </w:rPr>
        <w:t>uwzględnienie ich w</w:t>
      </w:r>
      <w:r w:rsidRPr="00F029B9">
        <w:rPr>
          <w:rFonts w:ascii="Bahnschrift Light" w:hAnsi="Bahnschrift Light"/>
          <w:sz w:val="24"/>
          <w:szCs w:val="24"/>
        </w:rPr>
        <w:t xml:space="preserve"> harmonogram</w:t>
      </w:r>
      <w:r>
        <w:rPr>
          <w:rFonts w:ascii="Bahnschrift Light" w:hAnsi="Bahnschrift Light"/>
          <w:sz w:val="24"/>
          <w:szCs w:val="24"/>
        </w:rPr>
        <w:t>ie badań</w:t>
      </w:r>
      <w:r w:rsidRPr="00F029B9">
        <w:rPr>
          <w:rFonts w:ascii="Bahnschrift Light" w:hAnsi="Bahnschrift Light"/>
          <w:sz w:val="24"/>
          <w:szCs w:val="24"/>
        </w:rPr>
        <w:t>.</w:t>
      </w:r>
    </w:p>
    <w:p w14:paraId="1CDA1C52" w14:textId="77777777" w:rsidR="00BA5300" w:rsidRPr="004B6B00" w:rsidRDefault="00AD4CC1" w:rsidP="006710C8">
      <w:pPr>
        <w:jc w:val="both"/>
        <w:rPr>
          <w:rFonts w:ascii="Bahnschrift Light" w:hAnsi="Bahnschrift Light"/>
          <w:sz w:val="24"/>
          <w:szCs w:val="24"/>
        </w:rPr>
      </w:pPr>
      <w:r w:rsidRPr="004B6B00">
        <w:rPr>
          <w:rFonts w:ascii="Bahnschrift Light" w:hAnsi="Bahnschrift Light"/>
          <w:sz w:val="24"/>
          <w:szCs w:val="24"/>
        </w:rPr>
        <w:t xml:space="preserve">Starsi pracownicy naukowi </w:t>
      </w:r>
    </w:p>
    <w:p w14:paraId="2592C478" w14:textId="5FE6EF98" w:rsidR="00F029B9" w:rsidRPr="00F029B9" w:rsidRDefault="00F029B9" w:rsidP="00F029B9">
      <w:pPr>
        <w:jc w:val="both"/>
        <w:rPr>
          <w:rFonts w:ascii="Bahnschrift Light" w:hAnsi="Bahnschrift Light"/>
          <w:sz w:val="24"/>
          <w:szCs w:val="24"/>
        </w:rPr>
      </w:pPr>
      <w:r>
        <w:rPr>
          <w:rFonts w:ascii="Bahnschrift Light" w:hAnsi="Bahnschrift Light"/>
          <w:sz w:val="24"/>
          <w:szCs w:val="24"/>
        </w:rPr>
        <w:t>Doświadczeni pracownicy naukowi</w:t>
      </w:r>
      <w:r w:rsidRPr="00F029B9">
        <w:rPr>
          <w:rFonts w:ascii="Bahnschrift Light" w:hAnsi="Bahnschrift Light"/>
          <w:sz w:val="24"/>
          <w:szCs w:val="24"/>
        </w:rPr>
        <w:t xml:space="preserve"> (R3 i R4) powinni szczególną uwagę zwracać na pełnione funkcje, takie jak opiekunowie naukowi, mentorzy, doradcy zawodowi, liderzy czy menedżerowie projektów, wykonując je zgodnie z najwyższymi standardami zawodowymi i </w:t>
      </w:r>
      <w:r>
        <w:rPr>
          <w:rFonts w:ascii="Bahnschrift Light" w:hAnsi="Bahnschrift Light"/>
          <w:sz w:val="24"/>
          <w:szCs w:val="24"/>
        </w:rPr>
        <w:t>korzystając z</w:t>
      </w:r>
      <w:r w:rsidRPr="00F029B9">
        <w:rPr>
          <w:rFonts w:ascii="Bahnschrift Light" w:hAnsi="Bahnschrift Light"/>
          <w:sz w:val="24"/>
          <w:szCs w:val="24"/>
        </w:rPr>
        <w:t xml:space="preserve"> dostęp</w:t>
      </w:r>
      <w:r>
        <w:rPr>
          <w:rFonts w:ascii="Bahnschrift Light" w:hAnsi="Bahnschrift Light"/>
          <w:sz w:val="24"/>
          <w:szCs w:val="24"/>
        </w:rPr>
        <w:t>u</w:t>
      </w:r>
      <w:r w:rsidRPr="00F029B9">
        <w:rPr>
          <w:rFonts w:ascii="Bahnschrift Light" w:hAnsi="Bahnschrift Light"/>
          <w:sz w:val="24"/>
          <w:szCs w:val="24"/>
        </w:rPr>
        <w:t xml:space="preserve"> do odpowiednich szkoleń. Jako opiekunowie i mentorzy, powinni budować konstruktywne relacje z </w:t>
      </w:r>
      <w:r>
        <w:rPr>
          <w:rFonts w:ascii="Bahnschrift Light" w:hAnsi="Bahnschrift Light"/>
          <w:sz w:val="24"/>
          <w:szCs w:val="24"/>
        </w:rPr>
        <w:t>mniej doświadczonymi</w:t>
      </w:r>
      <w:r w:rsidRPr="00F029B9">
        <w:rPr>
          <w:rFonts w:ascii="Bahnschrift Light" w:hAnsi="Bahnschrift Light"/>
          <w:sz w:val="24"/>
          <w:szCs w:val="24"/>
        </w:rPr>
        <w:t xml:space="preserve"> naukowcami (R1, R2), aby skutecznie transferować wiedzę i wspierać rozwój ich kariery. Wspieranie ich rozwoju zawodowego poprzez dzielenie się doświadczeniem i wartościami w zaufanym otoczeniu jest </w:t>
      </w:r>
      <w:r w:rsidR="00F12F01">
        <w:rPr>
          <w:rFonts w:ascii="Bahnschrift Light" w:hAnsi="Bahnschrift Light"/>
          <w:sz w:val="24"/>
          <w:szCs w:val="24"/>
        </w:rPr>
        <w:t>szczególnie istotną misją.</w:t>
      </w:r>
      <w:r w:rsidRPr="00F029B9">
        <w:rPr>
          <w:rFonts w:ascii="Bahnschrift Light" w:hAnsi="Bahnschrift Light"/>
          <w:sz w:val="24"/>
          <w:szCs w:val="24"/>
        </w:rPr>
        <w:t>.</w:t>
      </w:r>
    </w:p>
    <w:p w14:paraId="559833D7" w14:textId="3DD2B90D" w:rsidR="00407CC2" w:rsidRPr="004B6B00" w:rsidRDefault="00407CC2" w:rsidP="006710C8">
      <w:pPr>
        <w:jc w:val="both"/>
        <w:rPr>
          <w:rFonts w:ascii="Bahnschrift Light" w:hAnsi="Bahnschrift Light"/>
          <w:sz w:val="24"/>
          <w:szCs w:val="24"/>
        </w:rPr>
      </w:pPr>
    </w:p>
    <w:p w14:paraId="6C8EAD29" w14:textId="77777777" w:rsidR="00F12F01" w:rsidRDefault="00D177E4" w:rsidP="00F12F01">
      <w:pPr>
        <w:jc w:val="both"/>
        <w:rPr>
          <w:rFonts w:ascii="Bahnschrift Light" w:hAnsi="Bahnschrift Light"/>
          <w:sz w:val="24"/>
          <w:szCs w:val="24"/>
        </w:rPr>
      </w:pPr>
      <w:r w:rsidRPr="004B6B00">
        <w:rPr>
          <w:rFonts w:ascii="Bahnschrift Light" w:hAnsi="Bahnschrift Light"/>
          <w:sz w:val="24"/>
          <w:szCs w:val="24"/>
        </w:rPr>
        <w:t xml:space="preserve">Zgodnie z zasadami karty naukowca Instytut powinien zapewnić pracownikom naukowym i doktorantom doradztwo zawodowe ze strony doświadczonej kadry naukowej. </w:t>
      </w:r>
    </w:p>
    <w:p w14:paraId="39D7065D" w14:textId="77777777" w:rsidR="00F12F01" w:rsidRDefault="00F12F01" w:rsidP="00F12F01">
      <w:pPr>
        <w:jc w:val="both"/>
        <w:rPr>
          <w:rFonts w:ascii="Bahnschrift Light" w:hAnsi="Bahnschrift Light"/>
          <w:sz w:val="24"/>
          <w:szCs w:val="24"/>
        </w:rPr>
      </w:pPr>
      <w:r>
        <w:rPr>
          <w:rFonts w:ascii="Bahnschrift Light" w:hAnsi="Bahnschrift Light"/>
          <w:sz w:val="24"/>
          <w:szCs w:val="24"/>
        </w:rPr>
        <w:t>Zgodnie z ankietą:</w:t>
      </w:r>
    </w:p>
    <w:p w14:paraId="2C536A85" w14:textId="037592F5" w:rsidR="00F029B9" w:rsidRDefault="00D177E4" w:rsidP="00F12F01">
      <w:pPr>
        <w:jc w:val="both"/>
        <w:rPr>
          <w:rFonts w:ascii="Bahnschrift Light" w:hAnsi="Bahnschrift Light"/>
          <w:sz w:val="24"/>
          <w:szCs w:val="24"/>
        </w:rPr>
      </w:pPr>
      <w:r w:rsidRPr="004B6B00">
        <w:rPr>
          <w:rFonts w:ascii="Bahnschrift Light" w:hAnsi="Bahnschrift Light"/>
          <w:sz w:val="24"/>
          <w:szCs w:val="24"/>
        </w:rPr>
        <w:t>39</w:t>
      </w:r>
      <w:r w:rsidR="00B83174" w:rsidRPr="004B6B00">
        <w:rPr>
          <w:rFonts w:ascii="Bahnschrift Light" w:hAnsi="Bahnschrift Light"/>
          <w:sz w:val="24"/>
          <w:szCs w:val="24"/>
        </w:rPr>
        <w:t>.</w:t>
      </w:r>
      <w:r w:rsidRPr="004B6B00">
        <w:rPr>
          <w:rFonts w:ascii="Bahnschrift Light" w:hAnsi="Bahnschrift Light"/>
          <w:sz w:val="24"/>
          <w:szCs w:val="24"/>
        </w:rPr>
        <w:t xml:space="preserve">8 % naukowców </w:t>
      </w:r>
      <w:r w:rsidR="00F12F01" w:rsidRPr="00F029B9">
        <w:rPr>
          <w:rFonts w:ascii="Bahnschrift Light" w:hAnsi="Bahnschrift Light"/>
          <w:sz w:val="24"/>
          <w:szCs w:val="24"/>
        </w:rPr>
        <w:t>zauważa brak określonego planu rozwoju kariery zawodowej w Instytucie, a 20,5% nie ma wiedzy na ten temat.</w:t>
      </w:r>
    </w:p>
    <w:p w14:paraId="32B6A67A" w14:textId="41DD3BE5" w:rsidR="00D177E4" w:rsidRPr="004B6B00" w:rsidRDefault="00D177E4" w:rsidP="006710C8">
      <w:pPr>
        <w:jc w:val="both"/>
        <w:rPr>
          <w:rFonts w:ascii="Bahnschrift Light" w:hAnsi="Bahnschrift Light"/>
          <w:sz w:val="24"/>
          <w:szCs w:val="24"/>
        </w:rPr>
      </w:pPr>
      <w:r w:rsidRPr="004B6B00">
        <w:rPr>
          <w:rFonts w:ascii="Bahnschrift Light" w:hAnsi="Bahnschrift Light"/>
          <w:sz w:val="24"/>
          <w:szCs w:val="24"/>
        </w:rPr>
        <w:t>79</w:t>
      </w:r>
      <w:r w:rsidR="00B83174" w:rsidRPr="004B6B00">
        <w:rPr>
          <w:rFonts w:ascii="Bahnschrift Light" w:hAnsi="Bahnschrift Light"/>
          <w:sz w:val="24"/>
          <w:szCs w:val="24"/>
        </w:rPr>
        <w:t>.</w:t>
      </w:r>
      <w:r w:rsidRPr="004B6B00">
        <w:rPr>
          <w:rFonts w:ascii="Bahnschrift Light" w:hAnsi="Bahnschrift Light"/>
          <w:sz w:val="24"/>
          <w:szCs w:val="24"/>
        </w:rPr>
        <w:t>3% naukowców uważa, że Instytut zapewnia pracownikom naukowym i doktorantom możliwość stałego rozwoju umiejętności i kwalifikacji m.in. przez udział w szkoleniach, konferencjach, kursach on-line i 79</w:t>
      </w:r>
      <w:r w:rsidR="00B83174" w:rsidRPr="004B6B00">
        <w:rPr>
          <w:rFonts w:ascii="Bahnschrift Light" w:hAnsi="Bahnschrift Light"/>
          <w:sz w:val="24"/>
          <w:szCs w:val="24"/>
        </w:rPr>
        <w:t>.</w:t>
      </w:r>
      <w:r w:rsidRPr="004B6B00">
        <w:rPr>
          <w:rFonts w:ascii="Bahnschrift Light" w:hAnsi="Bahnschrift Light"/>
          <w:sz w:val="24"/>
          <w:szCs w:val="24"/>
        </w:rPr>
        <w:t xml:space="preserve">5 % respondentów </w:t>
      </w:r>
      <w:r w:rsidR="00F12F01">
        <w:rPr>
          <w:rFonts w:ascii="Bahnschrift Light" w:hAnsi="Bahnschrift Light"/>
          <w:sz w:val="24"/>
          <w:szCs w:val="24"/>
        </w:rPr>
        <w:t xml:space="preserve">aktywnie </w:t>
      </w:r>
      <w:r w:rsidRPr="004B6B00">
        <w:rPr>
          <w:rFonts w:ascii="Bahnschrift Light" w:hAnsi="Bahnschrift Light"/>
          <w:sz w:val="24"/>
          <w:szCs w:val="24"/>
        </w:rPr>
        <w:t>korzysta z</w:t>
      </w:r>
      <w:r w:rsidR="00F12F01">
        <w:rPr>
          <w:rFonts w:ascii="Bahnschrift Light" w:hAnsi="Bahnschrift Light"/>
          <w:sz w:val="24"/>
          <w:szCs w:val="24"/>
        </w:rPr>
        <w:t xml:space="preserve"> tych </w:t>
      </w:r>
      <w:r w:rsidRPr="004B6B00">
        <w:rPr>
          <w:rFonts w:ascii="Bahnschrift Light" w:hAnsi="Bahnschrift Light"/>
          <w:sz w:val="24"/>
          <w:szCs w:val="24"/>
        </w:rPr>
        <w:t xml:space="preserve"> możliwości</w:t>
      </w:r>
      <w:r w:rsidR="00F12F01">
        <w:rPr>
          <w:rFonts w:ascii="Bahnschrift Light" w:hAnsi="Bahnschrift Light"/>
          <w:sz w:val="24"/>
          <w:szCs w:val="24"/>
        </w:rPr>
        <w:t>.</w:t>
      </w:r>
      <w:r w:rsidRPr="004B6B00">
        <w:rPr>
          <w:rFonts w:ascii="Bahnschrift Light" w:hAnsi="Bahnschrift Light"/>
          <w:sz w:val="24"/>
          <w:szCs w:val="24"/>
        </w:rPr>
        <w:t>.</w:t>
      </w:r>
    </w:p>
    <w:p w14:paraId="2FC390CE" w14:textId="77777777" w:rsidR="00F12F01" w:rsidRPr="00F12F01" w:rsidRDefault="00F12F01" w:rsidP="00F12F01">
      <w:pPr>
        <w:jc w:val="both"/>
        <w:rPr>
          <w:rFonts w:ascii="Bahnschrift Light" w:hAnsi="Bahnschrift Light"/>
          <w:sz w:val="24"/>
          <w:szCs w:val="24"/>
        </w:rPr>
      </w:pPr>
      <w:r w:rsidRPr="00F12F01">
        <w:rPr>
          <w:rFonts w:ascii="Bahnschrift Light" w:hAnsi="Bahnschrift Light"/>
          <w:sz w:val="24"/>
          <w:szCs w:val="24"/>
        </w:rPr>
        <w:t>Niska frekwencja na poziomie 30% może sugerować, że społeczność Instytutu nie dostrzega istotnych problemów, a obecny system zapewnia przejrzystość sytuacji. Mimo to, wyniki ankiety pozwalają zidentyfikować obszary wymagające poprawy, co powinno stać się priorytetem w najbliższym czasie.</w:t>
      </w:r>
    </w:p>
    <w:p w14:paraId="284FEF32" w14:textId="385032D9" w:rsidR="00F12F01" w:rsidRPr="004B6B00" w:rsidRDefault="00F12F01" w:rsidP="00F12F01">
      <w:pPr>
        <w:jc w:val="both"/>
        <w:rPr>
          <w:rFonts w:ascii="Bahnschrift Light" w:hAnsi="Bahnschrift Light"/>
          <w:sz w:val="24"/>
          <w:szCs w:val="24"/>
        </w:rPr>
      </w:pPr>
      <w:r w:rsidRPr="00F12F01">
        <w:rPr>
          <w:rFonts w:ascii="Bahnschrift Light" w:hAnsi="Bahnschrift Light"/>
          <w:sz w:val="24"/>
          <w:szCs w:val="24"/>
        </w:rPr>
        <w:t>Instytut planuje aktywizację środowiska naukowego w zakresie działalności związanej z HRS4R poprzez powołanie grup roboczych odpowiedzialnych za realizację konkretnych zadań. W kontekście doradztwa zawodowego dla pracowników i doktorantów Instytutu, planowana jest pogłębiona analiza w 2025 roku, aby określić, jakiego wsparcia i działań w zakresie rozwoju kariery zawodowej oczekują pracownicy i doktoranci od Instytutu.</w:t>
      </w:r>
    </w:p>
    <w:sectPr w:rsidR="00F12F01" w:rsidRPr="004B6B00" w:rsidSect="004B6B00">
      <w:headerReference w:type="default" r:id="rId10"/>
      <w:footerReference w:type="default" r:id="rId11"/>
      <w:pgSz w:w="16700"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AE1F" w14:textId="77777777" w:rsidR="00DD5C6E" w:rsidRDefault="00DD5C6E" w:rsidP="0024083C">
      <w:pPr>
        <w:spacing w:after="0" w:line="240" w:lineRule="auto"/>
      </w:pPr>
      <w:r>
        <w:separator/>
      </w:r>
    </w:p>
  </w:endnote>
  <w:endnote w:type="continuationSeparator" w:id="0">
    <w:p w14:paraId="6CE3FFEE" w14:textId="77777777" w:rsidR="00DD5C6E" w:rsidRDefault="00DD5C6E" w:rsidP="0024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Bahnschrift Light">
    <w:panose1 w:val="020B0502040204020203"/>
    <w:charset w:val="EE"/>
    <w:family w:val="swiss"/>
    <w:pitch w:val="variable"/>
    <w:sig w:usb0="A00002C7" w:usb1="00000002"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ind">
    <w:charset w:val="EE"/>
    <w:family w:val="auto"/>
    <w:pitch w:val="variable"/>
    <w:sig w:usb0="00008007" w:usb1="00000000"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5C7" w14:textId="4442FFAE" w:rsidR="0096725D" w:rsidRDefault="0096725D" w:rsidP="0096725D">
    <w:pPr>
      <w:pStyle w:val="Stopka"/>
      <w:jc w:val="right"/>
    </w:pPr>
    <w:r>
      <w:rPr>
        <w:noProof/>
      </w:rPr>
      <w:drawing>
        <wp:inline distT="0" distB="0" distL="0" distR="0" wp14:anchorId="59577CCB" wp14:editId="342CA0DB">
          <wp:extent cx="1571715" cy="1064746"/>
          <wp:effectExtent l="0" t="0" r="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1580911" cy="10709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D8AA" w14:textId="77777777" w:rsidR="00DD5C6E" w:rsidRDefault="00DD5C6E" w:rsidP="0024083C">
      <w:pPr>
        <w:spacing w:after="0" w:line="240" w:lineRule="auto"/>
      </w:pPr>
      <w:r>
        <w:separator/>
      </w:r>
    </w:p>
  </w:footnote>
  <w:footnote w:type="continuationSeparator" w:id="0">
    <w:p w14:paraId="398CC6BC" w14:textId="77777777" w:rsidR="00DD5C6E" w:rsidRDefault="00DD5C6E" w:rsidP="0024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31D8" w14:textId="4BB21E54" w:rsidR="0024083C" w:rsidRDefault="0024083C" w:rsidP="0096725D">
    <w:pPr>
      <w:pStyle w:val="Nagwek"/>
      <w:jc w:val="right"/>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623F7B9" wp14:editId="0832CB6D">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a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a 159"/>
                      <wpg:cNvGrpSpPr/>
                      <wpg:grpSpPr>
                        <a:xfrm>
                          <a:off x="0" y="0"/>
                          <a:ext cx="1700784" cy="1024128"/>
                          <a:chOff x="0" y="0"/>
                          <a:chExt cx="1700784" cy="1024128"/>
                        </a:xfrm>
                      </wpg:grpSpPr>
                      <wps:wsp>
                        <wps:cNvPr id="160" name="Prostoką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Prostoką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Prostoką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Pole tekstowe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F09CF" w14:textId="77777777" w:rsidR="0024083C" w:rsidRDefault="0024083C">
                            <w:pPr>
                              <w:pStyle w:val="Nagwek"/>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23F7B9" id="Grupa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">
              <v:group id="Grupa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Prostokąt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Prostokąt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Prostokąt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80F09CF" w14:textId="77777777" w:rsidR="0024083C" w:rsidRDefault="0024083C">
                      <w:pPr>
                        <w:pStyle w:val="Nagwek"/>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0096725D">
      <w:rPr>
        <w:noProof/>
      </w:rPr>
      <w:drawing>
        <wp:inline distT="0" distB="0" distL="0" distR="0" wp14:anchorId="66C7A69E" wp14:editId="28EE9D32">
          <wp:extent cx="3030220" cy="1103630"/>
          <wp:effectExtent l="0" t="0" r="0" b="127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0220"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AE764"/>
    <w:multiLevelType w:val="hybridMultilevel"/>
    <w:tmpl w:val="FFFEDF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720F5"/>
    <w:multiLevelType w:val="hybridMultilevel"/>
    <w:tmpl w:val="28CA4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F6B4A"/>
    <w:multiLevelType w:val="hybridMultilevel"/>
    <w:tmpl w:val="CA2C9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F70B2"/>
    <w:multiLevelType w:val="hybridMultilevel"/>
    <w:tmpl w:val="1DD82806"/>
    <w:lvl w:ilvl="0" w:tplc="4C06F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B1DD3"/>
    <w:multiLevelType w:val="multilevel"/>
    <w:tmpl w:val="BEE6F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21AD8"/>
    <w:multiLevelType w:val="hybridMultilevel"/>
    <w:tmpl w:val="CA825A08"/>
    <w:lvl w:ilvl="0" w:tplc="16CC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AD7D08"/>
    <w:multiLevelType w:val="hybridMultilevel"/>
    <w:tmpl w:val="BD526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E230DE"/>
    <w:multiLevelType w:val="hybridMultilevel"/>
    <w:tmpl w:val="8898C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4F6BB1"/>
    <w:multiLevelType w:val="multilevel"/>
    <w:tmpl w:val="71681C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659DE1B"/>
    <w:multiLevelType w:val="hybridMultilevel"/>
    <w:tmpl w:val="CE295C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E267A3F"/>
    <w:multiLevelType w:val="hybridMultilevel"/>
    <w:tmpl w:val="13EC8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6618EB"/>
    <w:multiLevelType w:val="hybridMultilevel"/>
    <w:tmpl w:val="26561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A07802"/>
    <w:multiLevelType w:val="hybridMultilevel"/>
    <w:tmpl w:val="63947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92321C"/>
    <w:multiLevelType w:val="hybridMultilevel"/>
    <w:tmpl w:val="80D55F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BA472D1"/>
    <w:multiLevelType w:val="multilevel"/>
    <w:tmpl w:val="3C3E86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82719D"/>
    <w:multiLevelType w:val="hybridMultilevel"/>
    <w:tmpl w:val="E8524AB4"/>
    <w:lvl w:ilvl="0" w:tplc="5B0E7D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772C8D"/>
    <w:multiLevelType w:val="hybridMultilevel"/>
    <w:tmpl w:val="BF6E6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97E6110"/>
    <w:multiLevelType w:val="hybridMultilevel"/>
    <w:tmpl w:val="BF4C49C6"/>
    <w:lvl w:ilvl="0" w:tplc="61928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29424A"/>
    <w:multiLevelType w:val="hybridMultilevel"/>
    <w:tmpl w:val="8BFCD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B6F255C"/>
    <w:multiLevelType w:val="hybridMultilevel"/>
    <w:tmpl w:val="D8467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DDB1B80"/>
    <w:multiLevelType w:val="hybridMultilevel"/>
    <w:tmpl w:val="D6D2C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188FA2"/>
    <w:multiLevelType w:val="hybridMultilevel"/>
    <w:tmpl w:val="A0B6BD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0"/>
  </w:num>
  <w:num w:numId="3">
    <w:abstractNumId w:val="13"/>
  </w:num>
  <w:num w:numId="4">
    <w:abstractNumId w:val="9"/>
  </w:num>
  <w:num w:numId="5">
    <w:abstractNumId w:val="3"/>
  </w:num>
  <w:num w:numId="6">
    <w:abstractNumId w:val="17"/>
  </w:num>
  <w:num w:numId="7">
    <w:abstractNumId w:val="5"/>
  </w:num>
  <w:num w:numId="8">
    <w:abstractNumId w:val="4"/>
  </w:num>
  <w:num w:numId="9">
    <w:abstractNumId w:val="11"/>
  </w:num>
  <w:num w:numId="10">
    <w:abstractNumId w:val="18"/>
  </w:num>
  <w:num w:numId="11">
    <w:abstractNumId w:val="6"/>
  </w:num>
  <w:num w:numId="12">
    <w:abstractNumId w:val="15"/>
  </w:num>
  <w:num w:numId="13">
    <w:abstractNumId w:val="8"/>
  </w:num>
  <w:num w:numId="14">
    <w:abstractNumId w:val="14"/>
  </w:num>
  <w:num w:numId="15">
    <w:abstractNumId w:val="1"/>
  </w:num>
  <w:num w:numId="16">
    <w:abstractNumId w:val="19"/>
  </w:num>
  <w:num w:numId="17">
    <w:abstractNumId w:val="16"/>
  </w:num>
  <w:num w:numId="18">
    <w:abstractNumId w:val="12"/>
  </w:num>
  <w:num w:numId="19">
    <w:abstractNumId w:val="10"/>
  </w:num>
  <w:num w:numId="20">
    <w:abstractNumId w:val="20"/>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78"/>
    <w:rsid w:val="000354A3"/>
    <w:rsid w:val="00074583"/>
    <w:rsid w:val="000D0B60"/>
    <w:rsid w:val="001003A9"/>
    <w:rsid w:val="00100C90"/>
    <w:rsid w:val="00140767"/>
    <w:rsid w:val="00153501"/>
    <w:rsid w:val="00197F97"/>
    <w:rsid w:val="001A3C9B"/>
    <w:rsid w:val="001B769B"/>
    <w:rsid w:val="001B7E7F"/>
    <w:rsid w:val="001C3870"/>
    <w:rsid w:val="002048F7"/>
    <w:rsid w:val="00212CB4"/>
    <w:rsid w:val="00221F43"/>
    <w:rsid w:val="0024083C"/>
    <w:rsid w:val="00261B6D"/>
    <w:rsid w:val="00300ED8"/>
    <w:rsid w:val="00362037"/>
    <w:rsid w:val="003A42D6"/>
    <w:rsid w:val="003B1FCF"/>
    <w:rsid w:val="003E281B"/>
    <w:rsid w:val="003F5873"/>
    <w:rsid w:val="00407CC2"/>
    <w:rsid w:val="00430BE8"/>
    <w:rsid w:val="004334C1"/>
    <w:rsid w:val="00453BCD"/>
    <w:rsid w:val="0047660D"/>
    <w:rsid w:val="004803FE"/>
    <w:rsid w:val="0048433D"/>
    <w:rsid w:val="00484D3E"/>
    <w:rsid w:val="004B6B00"/>
    <w:rsid w:val="004C02F7"/>
    <w:rsid w:val="004E4E8A"/>
    <w:rsid w:val="00555BB3"/>
    <w:rsid w:val="005C21DC"/>
    <w:rsid w:val="00621733"/>
    <w:rsid w:val="006710C8"/>
    <w:rsid w:val="00696E1E"/>
    <w:rsid w:val="006B2099"/>
    <w:rsid w:val="006B34CA"/>
    <w:rsid w:val="006B7509"/>
    <w:rsid w:val="006C0A84"/>
    <w:rsid w:val="006F44A2"/>
    <w:rsid w:val="00703440"/>
    <w:rsid w:val="007141BB"/>
    <w:rsid w:val="00770B9A"/>
    <w:rsid w:val="00770D88"/>
    <w:rsid w:val="0078698C"/>
    <w:rsid w:val="00793007"/>
    <w:rsid w:val="00794E7E"/>
    <w:rsid w:val="007E6ED6"/>
    <w:rsid w:val="007F6170"/>
    <w:rsid w:val="00812284"/>
    <w:rsid w:val="0084103C"/>
    <w:rsid w:val="00865B87"/>
    <w:rsid w:val="008755D4"/>
    <w:rsid w:val="008835C2"/>
    <w:rsid w:val="00895266"/>
    <w:rsid w:val="00895AEE"/>
    <w:rsid w:val="008C322A"/>
    <w:rsid w:val="008D4ADC"/>
    <w:rsid w:val="00903380"/>
    <w:rsid w:val="0094714D"/>
    <w:rsid w:val="00955D1D"/>
    <w:rsid w:val="00964307"/>
    <w:rsid w:val="0096725D"/>
    <w:rsid w:val="00971390"/>
    <w:rsid w:val="009760C6"/>
    <w:rsid w:val="009807E1"/>
    <w:rsid w:val="00981ECD"/>
    <w:rsid w:val="00992A80"/>
    <w:rsid w:val="009B3F2A"/>
    <w:rsid w:val="009B52B5"/>
    <w:rsid w:val="009D5E8C"/>
    <w:rsid w:val="00A05CA8"/>
    <w:rsid w:val="00A50967"/>
    <w:rsid w:val="00A532DA"/>
    <w:rsid w:val="00A53DD5"/>
    <w:rsid w:val="00A72F4B"/>
    <w:rsid w:val="00A80D54"/>
    <w:rsid w:val="00A83B9C"/>
    <w:rsid w:val="00A97221"/>
    <w:rsid w:val="00AB5D49"/>
    <w:rsid w:val="00AB78DC"/>
    <w:rsid w:val="00AD4CC1"/>
    <w:rsid w:val="00AD7E1B"/>
    <w:rsid w:val="00AE5478"/>
    <w:rsid w:val="00B11EE5"/>
    <w:rsid w:val="00B23BA2"/>
    <w:rsid w:val="00B34162"/>
    <w:rsid w:val="00B56229"/>
    <w:rsid w:val="00B6671D"/>
    <w:rsid w:val="00B83174"/>
    <w:rsid w:val="00BA5300"/>
    <w:rsid w:val="00BB758F"/>
    <w:rsid w:val="00BC43A3"/>
    <w:rsid w:val="00BF4CE5"/>
    <w:rsid w:val="00C1348F"/>
    <w:rsid w:val="00C2311C"/>
    <w:rsid w:val="00C47435"/>
    <w:rsid w:val="00C655B8"/>
    <w:rsid w:val="00C6563B"/>
    <w:rsid w:val="00C8462E"/>
    <w:rsid w:val="00CD5483"/>
    <w:rsid w:val="00D13126"/>
    <w:rsid w:val="00D177E4"/>
    <w:rsid w:val="00D20600"/>
    <w:rsid w:val="00D26AEE"/>
    <w:rsid w:val="00D97E79"/>
    <w:rsid w:val="00DB059A"/>
    <w:rsid w:val="00DC2E56"/>
    <w:rsid w:val="00DD5C6E"/>
    <w:rsid w:val="00DE4DAE"/>
    <w:rsid w:val="00E22427"/>
    <w:rsid w:val="00E404BA"/>
    <w:rsid w:val="00E543EF"/>
    <w:rsid w:val="00E57EAF"/>
    <w:rsid w:val="00E624BF"/>
    <w:rsid w:val="00E85BAC"/>
    <w:rsid w:val="00EA268A"/>
    <w:rsid w:val="00F029B9"/>
    <w:rsid w:val="00F12F01"/>
    <w:rsid w:val="00F317A2"/>
    <w:rsid w:val="00F4346D"/>
    <w:rsid w:val="00F75806"/>
    <w:rsid w:val="00FE2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49F92"/>
  <w15:chartTrackingRefBased/>
  <w15:docId w15:val="{B87BA404-C447-447A-B0D9-DAD346CD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C0A84"/>
    <w:pPr>
      <w:keepNext/>
      <w:keepLines/>
      <w:spacing w:before="240" w:after="0"/>
      <w:outlineLvl w:val="0"/>
    </w:pPr>
    <w:rPr>
      <w:rFonts w:ascii="Bahnschrift Light" w:eastAsiaTheme="majorEastAsia" w:hAnsi="Bahnschrift Light" w:cstheme="majorBidi"/>
      <w:sz w:val="36"/>
      <w:szCs w:val="32"/>
    </w:rPr>
  </w:style>
  <w:style w:type="paragraph" w:styleId="Nagwek2">
    <w:name w:val="heading 2"/>
    <w:basedOn w:val="Normalny"/>
    <w:next w:val="Normalny"/>
    <w:link w:val="Nagwek2Znak"/>
    <w:uiPriority w:val="9"/>
    <w:unhideWhenUsed/>
    <w:qFormat/>
    <w:rsid w:val="006C0A84"/>
    <w:pPr>
      <w:keepNext/>
      <w:keepLines/>
      <w:spacing w:before="40" w:after="0"/>
      <w:outlineLvl w:val="1"/>
    </w:pPr>
    <w:rPr>
      <w:rFonts w:ascii="Bahnschrift Light" w:eastAsiaTheme="majorEastAsia" w:hAnsi="Bahnschrift Light" w:cstheme="majorBidi"/>
      <w:b/>
      <w:sz w:val="24"/>
      <w:szCs w:val="26"/>
    </w:rPr>
  </w:style>
  <w:style w:type="paragraph" w:styleId="Nagwek3">
    <w:name w:val="heading 3"/>
    <w:basedOn w:val="Normalny"/>
    <w:next w:val="Normalny"/>
    <w:link w:val="Nagwek3Znak"/>
    <w:uiPriority w:val="9"/>
    <w:unhideWhenUsed/>
    <w:qFormat/>
    <w:rsid w:val="006C0A84"/>
    <w:pPr>
      <w:keepNext/>
      <w:keepLines/>
      <w:spacing w:before="40" w:after="0"/>
      <w:outlineLvl w:val="2"/>
    </w:pPr>
    <w:rPr>
      <w:rFonts w:ascii="Bahnschrift Light" w:eastAsiaTheme="majorEastAsia" w:hAnsi="Bahnschrift Light" w:cstheme="majorBid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as-inline-color">
    <w:name w:val="has-inline-color"/>
    <w:basedOn w:val="Domylnaczcionkaakapitu"/>
    <w:rsid w:val="00AE5478"/>
  </w:style>
  <w:style w:type="paragraph" w:customStyle="1" w:styleId="Default">
    <w:name w:val="Default"/>
    <w:rsid w:val="00AE5478"/>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4334C1"/>
    <w:rPr>
      <w:color w:val="0563C1" w:themeColor="hyperlink"/>
      <w:u w:val="single"/>
    </w:rPr>
  </w:style>
  <w:style w:type="character" w:styleId="Nierozpoznanawzmianka">
    <w:name w:val="Unresolved Mention"/>
    <w:basedOn w:val="Domylnaczcionkaakapitu"/>
    <w:uiPriority w:val="99"/>
    <w:semiHidden/>
    <w:unhideWhenUsed/>
    <w:rsid w:val="004334C1"/>
    <w:rPr>
      <w:color w:val="605E5C"/>
      <w:shd w:val="clear" w:color="auto" w:fill="E1DFDD"/>
    </w:rPr>
  </w:style>
  <w:style w:type="paragraph" w:styleId="Akapitzlist">
    <w:name w:val="List Paragraph"/>
    <w:basedOn w:val="Normalny"/>
    <w:uiPriority w:val="34"/>
    <w:qFormat/>
    <w:rsid w:val="00AD4CC1"/>
    <w:pPr>
      <w:ind w:left="720"/>
      <w:contextualSpacing/>
    </w:pPr>
  </w:style>
  <w:style w:type="paragraph" w:styleId="NormalnyWeb">
    <w:name w:val="Normal (Web)"/>
    <w:basedOn w:val="Normalny"/>
    <w:uiPriority w:val="99"/>
    <w:semiHidden/>
    <w:unhideWhenUsed/>
    <w:rsid w:val="00E2242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8462E"/>
    <w:rPr>
      <w:sz w:val="16"/>
      <w:szCs w:val="16"/>
    </w:rPr>
  </w:style>
  <w:style w:type="paragraph" w:styleId="Tekstkomentarza">
    <w:name w:val="annotation text"/>
    <w:basedOn w:val="Normalny"/>
    <w:link w:val="TekstkomentarzaZnak"/>
    <w:uiPriority w:val="99"/>
    <w:unhideWhenUsed/>
    <w:rsid w:val="00C8462E"/>
    <w:pPr>
      <w:spacing w:line="240" w:lineRule="auto"/>
    </w:pPr>
    <w:rPr>
      <w:sz w:val="20"/>
      <w:szCs w:val="20"/>
    </w:rPr>
  </w:style>
  <w:style w:type="character" w:customStyle="1" w:styleId="TekstkomentarzaZnak">
    <w:name w:val="Tekst komentarza Znak"/>
    <w:basedOn w:val="Domylnaczcionkaakapitu"/>
    <w:link w:val="Tekstkomentarza"/>
    <w:uiPriority w:val="99"/>
    <w:rsid w:val="00C8462E"/>
    <w:rPr>
      <w:sz w:val="20"/>
      <w:szCs w:val="20"/>
    </w:rPr>
  </w:style>
  <w:style w:type="paragraph" w:styleId="Tematkomentarza">
    <w:name w:val="annotation subject"/>
    <w:basedOn w:val="Tekstkomentarza"/>
    <w:next w:val="Tekstkomentarza"/>
    <w:link w:val="TematkomentarzaZnak"/>
    <w:uiPriority w:val="99"/>
    <w:semiHidden/>
    <w:unhideWhenUsed/>
    <w:rsid w:val="00C8462E"/>
    <w:rPr>
      <w:b/>
      <w:bCs/>
    </w:rPr>
  </w:style>
  <w:style w:type="character" w:customStyle="1" w:styleId="TematkomentarzaZnak">
    <w:name w:val="Temat komentarza Znak"/>
    <w:basedOn w:val="TekstkomentarzaZnak"/>
    <w:link w:val="Tematkomentarza"/>
    <w:uiPriority w:val="99"/>
    <w:semiHidden/>
    <w:rsid w:val="00C8462E"/>
    <w:rPr>
      <w:b/>
      <w:bCs/>
      <w:sz w:val="20"/>
      <w:szCs w:val="20"/>
    </w:rPr>
  </w:style>
  <w:style w:type="paragraph" w:styleId="Poprawka">
    <w:name w:val="Revision"/>
    <w:hidden/>
    <w:uiPriority w:val="99"/>
    <w:semiHidden/>
    <w:rsid w:val="00895266"/>
    <w:pPr>
      <w:spacing w:after="0" w:line="240" w:lineRule="auto"/>
    </w:pPr>
  </w:style>
  <w:style w:type="paragraph" w:styleId="Tekstdymka">
    <w:name w:val="Balloon Text"/>
    <w:basedOn w:val="Normalny"/>
    <w:link w:val="TekstdymkaZnak"/>
    <w:uiPriority w:val="99"/>
    <w:semiHidden/>
    <w:unhideWhenUsed/>
    <w:rsid w:val="008952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5266"/>
    <w:rPr>
      <w:rFonts w:ascii="Segoe UI" w:hAnsi="Segoe UI" w:cs="Segoe UI"/>
      <w:sz w:val="18"/>
      <w:szCs w:val="18"/>
    </w:rPr>
  </w:style>
  <w:style w:type="paragraph" w:styleId="Nagwek">
    <w:name w:val="header"/>
    <w:basedOn w:val="Normalny"/>
    <w:link w:val="NagwekZnak"/>
    <w:uiPriority w:val="99"/>
    <w:unhideWhenUsed/>
    <w:rsid w:val="002408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083C"/>
  </w:style>
  <w:style w:type="paragraph" w:styleId="Stopka">
    <w:name w:val="footer"/>
    <w:basedOn w:val="Normalny"/>
    <w:link w:val="StopkaZnak"/>
    <w:uiPriority w:val="99"/>
    <w:unhideWhenUsed/>
    <w:rsid w:val="002408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083C"/>
  </w:style>
  <w:style w:type="character" w:customStyle="1" w:styleId="Nagwek1Znak">
    <w:name w:val="Nagłówek 1 Znak"/>
    <w:basedOn w:val="Domylnaczcionkaakapitu"/>
    <w:link w:val="Nagwek1"/>
    <w:uiPriority w:val="9"/>
    <w:rsid w:val="006C0A84"/>
    <w:rPr>
      <w:rFonts w:ascii="Bahnschrift Light" w:eastAsiaTheme="majorEastAsia" w:hAnsi="Bahnschrift Light" w:cstheme="majorBidi"/>
      <w:sz w:val="36"/>
      <w:szCs w:val="32"/>
    </w:rPr>
  </w:style>
  <w:style w:type="paragraph" w:styleId="Nagwekspisutreci">
    <w:name w:val="TOC Heading"/>
    <w:basedOn w:val="Nagwek1"/>
    <w:next w:val="Normalny"/>
    <w:uiPriority w:val="39"/>
    <w:unhideWhenUsed/>
    <w:qFormat/>
    <w:rsid w:val="004E4E8A"/>
    <w:pPr>
      <w:outlineLvl w:val="9"/>
    </w:pPr>
    <w:rPr>
      <w:lang w:eastAsia="pl-PL"/>
    </w:rPr>
  </w:style>
  <w:style w:type="character" w:customStyle="1" w:styleId="Nagwek2Znak">
    <w:name w:val="Nagłówek 2 Znak"/>
    <w:basedOn w:val="Domylnaczcionkaakapitu"/>
    <w:link w:val="Nagwek2"/>
    <w:uiPriority w:val="9"/>
    <w:rsid w:val="006C0A84"/>
    <w:rPr>
      <w:rFonts w:ascii="Bahnschrift Light" w:eastAsiaTheme="majorEastAsia" w:hAnsi="Bahnschrift Light" w:cstheme="majorBidi"/>
      <w:b/>
      <w:sz w:val="24"/>
      <w:szCs w:val="26"/>
    </w:rPr>
  </w:style>
  <w:style w:type="character" w:customStyle="1" w:styleId="Nagwek3Znak">
    <w:name w:val="Nagłówek 3 Znak"/>
    <w:basedOn w:val="Domylnaczcionkaakapitu"/>
    <w:link w:val="Nagwek3"/>
    <w:uiPriority w:val="9"/>
    <w:rsid w:val="006C0A84"/>
    <w:rPr>
      <w:rFonts w:ascii="Bahnschrift Light" w:eastAsiaTheme="majorEastAsia" w:hAnsi="Bahnschrift Light" w:cstheme="majorBidi"/>
      <w:sz w:val="24"/>
      <w:szCs w:val="24"/>
    </w:rPr>
  </w:style>
  <w:style w:type="paragraph" w:styleId="Spistreci1">
    <w:name w:val="toc 1"/>
    <w:basedOn w:val="Normalny"/>
    <w:next w:val="Normalny"/>
    <w:autoRedefine/>
    <w:uiPriority w:val="39"/>
    <w:unhideWhenUsed/>
    <w:rsid w:val="006C0A84"/>
    <w:pPr>
      <w:spacing w:after="100"/>
    </w:pPr>
  </w:style>
  <w:style w:type="paragraph" w:styleId="Spistreci2">
    <w:name w:val="toc 2"/>
    <w:basedOn w:val="Normalny"/>
    <w:next w:val="Normalny"/>
    <w:autoRedefine/>
    <w:uiPriority w:val="39"/>
    <w:unhideWhenUsed/>
    <w:rsid w:val="006C0A84"/>
    <w:pPr>
      <w:spacing w:after="100"/>
      <w:ind w:left="220"/>
    </w:pPr>
  </w:style>
  <w:style w:type="paragraph" w:styleId="Spistreci3">
    <w:name w:val="toc 3"/>
    <w:basedOn w:val="Normalny"/>
    <w:next w:val="Normalny"/>
    <w:autoRedefine/>
    <w:uiPriority w:val="39"/>
    <w:unhideWhenUsed/>
    <w:rsid w:val="006C0A8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0973">
      <w:bodyDiv w:val="1"/>
      <w:marLeft w:val="0"/>
      <w:marRight w:val="0"/>
      <w:marTop w:val="0"/>
      <w:marBottom w:val="0"/>
      <w:divBdr>
        <w:top w:val="none" w:sz="0" w:space="0" w:color="auto"/>
        <w:left w:val="none" w:sz="0" w:space="0" w:color="auto"/>
        <w:bottom w:val="none" w:sz="0" w:space="0" w:color="auto"/>
        <w:right w:val="none" w:sz="0" w:space="0" w:color="auto"/>
      </w:divBdr>
    </w:div>
    <w:div w:id="136118466">
      <w:bodyDiv w:val="1"/>
      <w:marLeft w:val="0"/>
      <w:marRight w:val="0"/>
      <w:marTop w:val="0"/>
      <w:marBottom w:val="0"/>
      <w:divBdr>
        <w:top w:val="none" w:sz="0" w:space="0" w:color="auto"/>
        <w:left w:val="none" w:sz="0" w:space="0" w:color="auto"/>
        <w:bottom w:val="none" w:sz="0" w:space="0" w:color="auto"/>
        <w:right w:val="none" w:sz="0" w:space="0" w:color="auto"/>
      </w:divBdr>
    </w:div>
    <w:div w:id="198593544">
      <w:bodyDiv w:val="1"/>
      <w:marLeft w:val="0"/>
      <w:marRight w:val="0"/>
      <w:marTop w:val="0"/>
      <w:marBottom w:val="0"/>
      <w:divBdr>
        <w:top w:val="none" w:sz="0" w:space="0" w:color="auto"/>
        <w:left w:val="none" w:sz="0" w:space="0" w:color="auto"/>
        <w:bottom w:val="none" w:sz="0" w:space="0" w:color="auto"/>
        <w:right w:val="none" w:sz="0" w:space="0" w:color="auto"/>
      </w:divBdr>
    </w:div>
    <w:div w:id="198974937">
      <w:bodyDiv w:val="1"/>
      <w:marLeft w:val="0"/>
      <w:marRight w:val="0"/>
      <w:marTop w:val="0"/>
      <w:marBottom w:val="0"/>
      <w:divBdr>
        <w:top w:val="none" w:sz="0" w:space="0" w:color="auto"/>
        <w:left w:val="none" w:sz="0" w:space="0" w:color="auto"/>
        <w:bottom w:val="none" w:sz="0" w:space="0" w:color="auto"/>
        <w:right w:val="none" w:sz="0" w:space="0" w:color="auto"/>
      </w:divBdr>
    </w:div>
    <w:div w:id="443841416">
      <w:bodyDiv w:val="1"/>
      <w:marLeft w:val="0"/>
      <w:marRight w:val="0"/>
      <w:marTop w:val="0"/>
      <w:marBottom w:val="0"/>
      <w:divBdr>
        <w:top w:val="none" w:sz="0" w:space="0" w:color="auto"/>
        <w:left w:val="none" w:sz="0" w:space="0" w:color="auto"/>
        <w:bottom w:val="none" w:sz="0" w:space="0" w:color="auto"/>
        <w:right w:val="none" w:sz="0" w:space="0" w:color="auto"/>
      </w:divBdr>
    </w:div>
    <w:div w:id="598488341">
      <w:bodyDiv w:val="1"/>
      <w:marLeft w:val="0"/>
      <w:marRight w:val="0"/>
      <w:marTop w:val="0"/>
      <w:marBottom w:val="0"/>
      <w:divBdr>
        <w:top w:val="none" w:sz="0" w:space="0" w:color="auto"/>
        <w:left w:val="none" w:sz="0" w:space="0" w:color="auto"/>
        <w:bottom w:val="none" w:sz="0" w:space="0" w:color="auto"/>
        <w:right w:val="none" w:sz="0" w:space="0" w:color="auto"/>
      </w:divBdr>
    </w:div>
    <w:div w:id="932663254">
      <w:bodyDiv w:val="1"/>
      <w:marLeft w:val="0"/>
      <w:marRight w:val="0"/>
      <w:marTop w:val="0"/>
      <w:marBottom w:val="0"/>
      <w:divBdr>
        <w:top w:val="none" w:sz="0" w:space="0" w:color="auto"/>
        <w:left w:val="none" w:sz="0" w:space="0" w:color="auto"/>
        <w:bottom w:val="none" w:sz="0" w:space="0" w:color="auto"/>
        <w:right w:val="none" w:sz="0" w:space="0" w:color="auto"/>
      </w:divBdr>
    </w:div>
    <w:div w:id="1401711322">
      <w:bodyDiv w:val="1"/>
      <w:marLeft w:val="0"/>
      <w:marRight w:val="0"/>
      <w:marTop w:val="0"/>
      <w:marBottom w:val="0"/>
      <w:divBdr>
        <w:top w:val="none" w:sz="0" w:space="0" w:color="auto"/>
        <w:left w:val="none" w:sz="0" w:space="0" w:color="auto"/>
        <w:bottom w:val="none" w:sz="0" w:space="0" w:color="auto"/>
        <w:right w:val="none" w:sz="0" w:space="0" w:color="auto"/>
      </w:divBdr>
    </w:div>
    <w:div w:id="1569801504">
      <w:bodyDiv w:val="1"/>
      <w:marLeft w:val="0"/>
      <w:marRight w:val="0"/>
      <w:marTop w:val="0"/>
      <w:marBottom w:val="0"/>
      <w:divBdr>
        <w:top w:val="none" w:sz="0" w:space="0" w:color="auto"/>
        <w:left w:val="none" w:sz="0" w:space="0" w:color="auto"/>
        <w:bottom w:val="none" w:sz="0" w:space="0" w:color="auto"/>
        <w:right w:val="none" w:sz="0" w:space="0" w:color="auto"/>
      </w:divBdr>
    </w:div>
    <w:div w:id="1938950116">
      <w:bodyDiv w:val="1"/>
      <w:marLeft w:val="0"/>
      <w:marRight w:val="0"/>
      <w:marTop w:val="0"/>
      <w:marBottom w:val="0"/>
      <w:divBdr>
        <w:top w:val="none" w:sz="0" w:space="0" w:color="auto"/>
        <w:left w:val="none" w:sz="0" w:space="0" w:color="auto"/>
        <w:bottom w:val="none" w:sz="0" w:space="0" w:color="auto"/>
        <w:right w:val="none" w:sz="0" w:space="0" w:color="auto"/>
      </w:divBdr>
    </w:div>
    <w:div w:id="19595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cki.edu.pl/institute/about/inform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Struktura zatrudnienia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F1D-4263-907F-02075D1F95A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F1D-4263-907F-02075D1F95A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F1D-4263-907F-02075D1F95A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F1D-4263-907F-02075D1F95A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F1D-4263-907F-02075D1F95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Arkusz1!$A$2:$A$6</c:f>
              <c:strCache>
                <c:ptCount val="5"/>
                <c:pt idx="0">
                  <c:v>1. Prac. Naukowi</c:v>
                </c:pt>
                <c:pt idx="1">
                  <c:v>2. Prac. Badawczo-techniczni</c:v>
                </c:pt>
                <c:pt idx="2">
                  <c:v>3. Prac. Techniczni</c:v>
                </c:pt>
                <c:pt idx="3">
                  <c:v>4. Prac. Jednostek pomocniczych i administracyjnych</c:v>
                </c:pt>
                <c:pt idx="4">
                  <c:v>5. Doktoranci</c:v>
                </c:pt>
              </c:strCache>
            </c:strRef>
          </c:cat>
          <c:val>
            <c:numRef>
              <c:f>Arkusz1!$B$2:$B$6</c:f>
              <c:numCache>
                <c:formatCode>General</c:formatCode>
                <c:ptCount val="5"/>
                <c:pt idx="0">
                  <c:v>90</c:v>
                </c:pt>
                <c:pt idx="1">
                  <c:v>90</c:v>
                </c:pt>
                <c:pt idx="2">
                  <c:v>57</c:v>
                </c:pt>
                <c:pt idx="3">
                  <c:v>118</c:v>
                </c:pt>
                <c:pt idx="4">
                  <c:v>100</c:v>
                </c:pt>
              </c:numCache>
            </c:numRef>
          </c:val>
          <c:extLst>
            <c:ext xmlns:c16="http://schemas.microsoft.com/office/drawing/2014/chart" uri="{C3380CC4-5D6E-409C-BE32-E72D297353CC}">
              <c16:uniqueId val="{00000000-1EB6-489C-A894-16FD232D3437}"/>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73B57-E693-4C0B-80D2-4DF69442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8588</Words>
  <Characters>51533</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Dziewulska</dc:creator>
  <cp:keywords/>
  <dc:description/>
  <cp:lastModifiedBy>Urszula Dziewulska</cp:lastModifiedBy>
  <cp:revision>2</cp:revision>
  <cp:lastPrinted>2024-11-14T09:19:00Z</cp:lastPrinted>
  <dcterms:created xsi:type="dcterms:W3CDTF">2025-01-31T13:39:00Z</dcterms:created>
  <dcterms:modified xsi:type="dcterms:W3CDTF">2025-01-31T13:39:00Z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4c380b663c0f9c9d440fc3109430929b41d5f78df8f96249f5f8acdcfc81c06b</vt:lpwstr>
  </property>
</Properties>
</file>