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26FA" w14:textId="0FFD8C51"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C939E90" wp14:editId="0636CBB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C384A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0BF81ED7" w14:textId="77777777"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3F5DBF9" w14:textId="649CFD3A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5E2E2E">
        <w:rPr>
          <w:rFonts w:cstheme="minorHAnsi"/>
          <w:sz w:val="20"/>
          <w:szCs w:val="20"/>
        </w:rPr>
        <w:t xml:space="preserve">1 października </w:t>
      </w:r>
      <w:r w:rsidR="001F53B8">
        <w:rPr>
          <w:rFonts w:cstheme="minorHAnsi"/>
          <w:sz w:val="20"/>
          <w:szCs w:val="20"/>
        </w:rPr>
        <w:t>202</w:t>
      </w:r>
      <w:r w:rsidR="001D2366">
        <w:rPr>
          <w:rFonts w:cstheme="minorHAnsi"/>
          <w:sz w:val="20"/>
          <w:szCs w:val="20"/>
        </w:rPr>
        <w:t>5</w:t>
      </w:r>
      <w:r w:rsidR="001F53B8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r.</w:t>
      </w:r>
    </w:p>
    <w:p w14:paraId="0A04A39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3CFC8" w14:textId="0EC211FB" w:rsidR="00092BB7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E4A0A">
        <w:rPr>
          <w:rFonts w:cstheme="minorHAnsi"/>
          <w:b/>
          <w:bCs/>
          <w:caps/>
          <w:sz w:val="20"/>
          <w:szCs w:val="20"/>
        </w:rPr>
        <w:t>1</w:t>
      </w:r>
      <w:r w:rsidR="001D2366">
        <w:rPr>
          <w:rFonts w:cstheme="minorHAnsi"/>
          <w:b/>
          <w:bCs/>
          <w:caps/>
          <w:sz w:val="20"/>
          <w:szCs w:val="20"/>
        </w:rPr>
        <w:t>6</w:t>
      </w:r>
      <w:r w:rsidR="003B35F4">
        <w:rPr>
          <w:rFonts w:cstheme="minorHAnsi"/>
          <w:b/>
          <w:bCs/>
          <w:caps/>
          <w:sz w:val="20"/>
          <w:szCs w:val="20"/>
        </w:rPr>
        <w:t>/</w:t>
      </w:r>
      <w:r w:rsidR="00877AC7">
        <w:rPr>
          <w:rFonts w:cstheme="minorHAnsi"/>
          <w:b/>
          <w:bCs/>
          <w:caps/>
          <w:sz w:val="20"/>
          <w:szCs w:val="20"/>
        </w:rPr>
        <w:t>202</w:t>
      </w:r>
      <w:r w:rsidR="001D2366">
        <w:rPr>
          <w:rFonts w:cstheme="minorHAnsi"/>
          <w:b/>
          <w:bCs/>
          <w:caps/>
          <w:sz w:val="20"/>
          <w:szCs w:val="20"/>
        </w:rPr>
        <w:t>5</w:t>
      </w:r>
    </w:p>
    <w:p w14:paraId="2058E9F9" w14:textId="6A508926" w:rsidR="00826A03" w:rsidRPr="00826A03" w:rsidRDefault="000373D6" w:rsidP="003C728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bCs/>
          <w:color w:val="222222"/>
          <w:sz w:val="20"/>
          <w:szCs w:val="20"/>
          <w:shd w:val="clear" w:color="auto" w:fill="FFFFFF"/>
        </w:rPr>
      </w:pPr>
      <w:r w:rsidRPr="00826A03">
        <w:rPr>
          <w:rFonts w:cstheme="minorHAnsi"/>
          <w:b/>
          <w:bCs/>
          <w:sz w:val="20"/>
          <w:szCs w:val="20"/>
        </w:rPr>
        <w:t xml:space="preserve">na </w:t>
      </w:r>
      <w:r w:rsidR="004932B3" w:rsidRPr="00826A03">
        <w:rPr>
          <w:rFonts w:cstheme="minorHAnsi"/>
          <w:b/>
          <w:bCs/>
          <w:sz w:val="20"/>
          <w:szCs w:val="20"/>
        </w:rPr>
        <w:t>sukcesywn</w:t>
      </w:r>
      <w:bookmarkStart w:id="0" w:name="_Hlk210057908"/>
      <w:r w:rsidR="00FB1DE6">
        <w:rPr>
          <w:rFonts w:cstheme="minorHAnsi"/>
          <w:b/>
          <w:bCs/>
          <w:sz w:val="20"/>
          <w:szCs w:val="20"/>
        </w:rPr>
        <w:t xml:space="preserve">ą </w:t>
      </w:r>
      <w:r w:rsidR="00826A03" w:rsidRPr="00826A03">
        <w:rPr>
          <w:rFonts w:cstheme="minorHAnsi"/>
          <w:b/>
          <w:bCs/>
          <w:sz w:val="20"/>
          <w:szCs w:val="20"/>
        </w:rPr>
        <w:t xml:space="preserve">dostawę </w:t>
      </w:r>
      <w:r w:rsidR="00FB1DE6">
        <w:rPr>
          <w:rFonts w:cstheme="minorHAnsi"/>
          <w:b/>
          <w:bCs/>
          <w:sz w:val="20"/>
          <w:szCs w:val="20"/>
        </w:rPr>
        <w:t xml:space="preserve">5 (pięciu) rodzajów </w:t>
      </w:r>
      <w:r w:rsidR="00826A03" w:rsidRPr="00826A03"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  <w:t>pasz</w:t>
      </w:r>
      <w:r w:rsidR="00FB1DE6"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  <w:t>y</w:t>
      </w:r>
      <w:r w:rsidR="00826A03" w:rsidRPr="00826A03"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  <w:t xml:space="preserve"> dla gryzoni laboratoryjnych (mysz, szczur)</w:t>
      </w:r>
    </w:p>
    <w:bookmarkEnd w:id="0"/>
    <w:p w14:paraId="220C109C" w14:textId="4F8B1E66" w:rsidR="00092BB7" w:rsidRPr="00826A03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826A03">
        <w:rPr>
          <w:rFonts w:cstheme="minorHAnsi"/>
          <w:sz w:val="20"/>
          <w:szCs w:val="20"/>
        </w:rPr>
        <w:t>do Instytutu Biologii Doświadczalnej im. Marcelego Nenckiego</w:t>
      </w:r>
    </w:p>
    <w:p w14:paraId="43E5FDC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69456B3F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730335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7F2D85AF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106E93EC" w14:textId="77777777" w:rsidR="00472333" w:rsidRDefault="00472333" w:rsidP="00472333">
      <w:pPr>
        <w:pStyle w:val="Default"/>
      </w:pPr>
    </w:p>
    <w:p w14:paraId="7D2D7642" w14:textId="699A0DD9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</w:t>
      </w:r>
      <w:r w:rsidR="00287785">
        <w:rPr>
          <w:rFonts w:cstheme="minorHAnsi"/>
          <w:sz w:val="20"/>
          <w:szCs w:val="20"/>
        </w:rPr>
        <w:t xml:space="preserve">kontaktów w sprawie zamówienia: </w:t>
      </w:r>
      <w:r w:rsidR="003C7282">
        <w:rPr>
          <w:rFonts w:cstheme="minorHAnsi"/>
          <w:sz w:val="20"/>
          <w:szCs w:val="20"/>
        </w:rPr>
        <w:t>Beniamin Kaszlikowski</w:t>
      </w:r>
    </w:p>
    <w:p w14:paraId="541EC4A7" w14:textId="40B07E65" w:rsidR="00092BB7" w:rsidRPr="003C728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CA3C2E">
        <w:rPr>
          <w:rFonts w:cstheme="minorHAnsi"/>
          <w:sz w:val="20"/>
          <w:szCs w:val="20"/>
          <w:lang w:val="de-DE"/>
        </w:rPr>
        <w:t xml:space="preserve">e-mail: </w:t>
      </w:r>
      <w:hyperlink r:id="rId7" w:history="1">
        <w:r w:rsidR="003C7282" w:rsidRPr="003A5B23">
          <w:rPr>
            <w:rStyle w:val="Hipercze"/>
            <w:rFonts w:cstheme="minorHAnsi"/>
            <w:sz w:val="20"/>
            <w:szCs w:val="20"/>
            <w:lang w:val="en-US"/>
          </w:rPr>
          <w:t>b.kaszlikowski@nencki.edu.pl</w:t>
        </w:r>
      </w:hyperlink>
      <w:r w:rsidR="003C7282">
        <w:rPr>
          <w:rFonts w:cstheme="minorHAnsi"/>
          <w:sz w:val="20"/>
          <w:szCs w:val="20"/>
          <w:lang w:val="en-US"/>
        </w:rPr>
        <w:t xml:space="preserve"> </w:t>
      </w:r>
      <w:r w:rsidR="0049371E">
        <w:rPr>
          <w:rFonts w:cstheme="minorHAnsi"/>
          <w:sz w:val="20"/>
          <w:szCs w:val="20"/>
          <w:lang w:val="en-US"/>
        </w:rPr>
        <w:t xml:space="preserve"> </w:t>
      </w:r>
    </w:p>
    <w:p w14:paraId="3B6B0C1E" w14:textId="2F4ACF14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826A03">
        <w:rPr>
          <w:rFonts w:cstheme="minorHAnsi"/>
          <w:b/>
          <w:bCs/>
          <w:sz w:val="20"/>
          <w:szCs w:val="20"/>
        </w:rPr>
        <w:t>2</w:t>
      </w:r>
      <w:r w:rsidR="00042F50">
        <w:rPr>
          <w:rFonts w:cstheme="minorHAnsi"/>
          <w:b/>
          <w:bCs/>
          <w:sz w:val="20"/>
          <w:szCs w:val="20"/>
        </w:rPr>
        <w:t>2</w:t>
      </w:r>
      <w:r w:rsidR="003C7282">
        <w:rPr>
          <w:rFonts w:cstheme="minorHAnsi"/>
          <w:b/>
          <w:bCs/>
          <w:sz w:val="20"/>
          <w:szCs w:val="20"/>
        </w:rPr>
        <w:t>.</w:t>
      </w:r>
      <w:r w:rsidR="00826A03">
        <w:rPr>
          <w:rFonts w:cstheme="minorHAnsi"/>
          <w:b/>
          <w:bCs/>
          <w:sz w:val="20"/>
          <w:szCs w:val="20"/>
        </w:rPr>
        <w:t>10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</w:t>
      </w:r>
      <w:r w:rsidR="00826A03">
        <w:rPr>
          <w:rFonts w:cstheme="minorHAnsi"/>
          <w:b/>
          <w:bCs/>
          <w:sz w:val="20"/>
          <w:szCs w:val="20"/>
        </w:rPr>
        <w:t>5</w:t>
      </w:r>
      <w:r w:rsidR="000E6B29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14:paraId="14BC9F63" w14:textId="47FAF79B" w:rsidR="005458A3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1F9CC28" w14:textId="77777777" w:rsidR="003C7282" w:rsidRPr="002329A0" w:rsidRDefault="003C7282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33B4D31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350D1B6E" w14:textId="77777777" w:rsidR="00287785" w:rsidRPr="002329A0" w:rsidRDefault="00287785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5B1D923E" w14:textId="7FFEF654" w:rsidR="003C7282" w:rsidRDefault="003C7282" w:rsidP="008379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>
        <w:rPr>
          <w:rFonts w:cstheme="minorHAnsi"/>
          <w:sz w:val="20"/>
          <w:szCs w:val="20"/>
        </w:rPr>
        <w:t xml:space="preserve"> jest </w:t>
      </w:r>
      <w:r w:rsidRPr="005418CA">
        <w:rPr>
          <w:rFonts w:cstheme="minorHAnsi"/>
          <w:b/>
          <w:bCs/>
          <w:sz w:val="20"/>
          <w:szCs w:val="20"/>
        </w:rPr>
        <w:t>sukcesywna dostaw</w:t>
      </w:r>
      <w:r w:rsidR="00837964" w:rsidRPr="005418CA">
        <w:rPr>
          <w:rFonts w:cstheme="minorHAnsi"/>
          <w:b/>
          <w:bCs/>
          <w:sz w:val="20"/>
          <w:szCs w:val="20"/>
        </w:rPr>
        <w:t xml:space="preserve">a </w:t>
      </w:r>
      <w:r w:rsidR="00E97663">
        <w:rPr>
          <w:rFonts w:cstheme="minorHAnsi"/>
          <w:b/>
          <w:bCs/>
          <w:sz w:val="20"/>
          <w:szCs w:val="20"/>
        </w:rPr>
        <w:t xml:space="preserve">5 (pięciu) rodzajów paszy </w:t>
      </w:r>
      <w:r w:rsidR="00837964" w:rsidRPr="005418CA">
        <w:rPr>
          <w:rFonts w:cstheme="minorHAnsi"/>
          <w:b/>
          <w:bCs/>
          <w:sz w:val="20"/>
          <w:szCs w:val="20"/>
        </w:rPr>
        <w:t>(ilość to przewidywane roczne zapotrzebowanie):</w:t>
      </w:r>
    </w:p>
    <w:p w14:paraId="44300179" w14:textId="77777777" w:rsidR="00837964" w:rsidRPr="00837964" w:rsidRDefault="00837964" w:rsidP="00837964">
      <w:pPr>
        <w:pStyle w:val="Akapitzlist"/>
        <w:numPr>
          <w:ilvl w:val="0"/>
          <w:numId w:val="10"/>
        </w:numPr>
        <w:shd w:val="clear" w:color="auto" w:fill="FFFFFF"/>
        <w:spacing w:after="240" w:line="240" w:lineRule="auto"/>
        <w:ind w:left="426" w:hanging="284"/>
        <w:rPr>
          <w:rFonts w:eastAsia="Times New Roman" w:cstheme="minorHAnsi"/>
          <w:color w:val="222222"/>
          <w:sz w:val="20"/>
          <w:szCs w:val="20"/>
          <w:lang w:eastAsia="pl-PL"/>
        </w:rPr>
      </w:pPr>
      <w:bookmarkStart w:id="1" w:name="_Hlk210058520"/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 xml:space="preserve">pasza bytowa dla myszy i szczurów, niskofitoestrogenowa, do autoklawowania </w:t>
      </w:r>
      <w:bookmarkEnd w:id="1"/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– 7 000 kg</w:t>
      </w:r>
    </w:p>
    <w:p w14:paraId="57ACEA5C" w14:textId="77777777" w:rsidR="00837964" w:rsidRPr="00837964" w:rsidRDefault="00837964" w:rsidP="00837964">
      <w:pPr>
        <w:pStyle w:val="Akapitzlist"/>
        <w:numPr>
          <w:ilvl w:val="0"/>
          <w:numId w:val="10"/>
        </w:numPr>
        <w:shd w:val="clear" w:color="auto" w:fill="FFFFFF"/>
        <w:spacing w:after="240" w:line="240" w:lineRule="auto"/>
        <w:ind w:left="426" w:hanging="284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pasza hodowlana dla myszy, do autoklawowania – 6 000 kg</w:t>
      </w:r>
    </w:p>
    <w:p w14:paraId="5C672042" w14:textId="77777777" w:rsidR="00837964" w:rsidRPr="00837964" w:rsidRDefault="00837964" w:rsidP="00837964">
      <w:pPr>
        <w:pStyle w:val="Akapitzlist"/>
        <w:numPr>
          <w:ilvl w:val="0"/>
          <w:numId w:val="10"/>
        </w:numPr>
        <w:shd w:val="clear" w:color="auto" w:fill="FFFFFF"/>
        <w:spacing w:after="240" w:line="240" w:lineRule="auto"/>
        <w:ind w:left="426" w:hanging="284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pasza hodowlana dla szczurów, do autoklawowania – 3 000 kg</w:t>
      </w:r>
    </w:p>
    <w:p w14:paraId="04F95DE1" w14:textId="77777777" w:rsidR="00837964" w:rsidRPr="00837964" w:rsidRDefault="00837964" w:rsidP="00837964">
      <w:pPr>
        <w:pStyle w:val="Akapitzlist"/>
        <w:numPr>
          <w:ilvl w:val="0"/>
          <w:numId w:val="10"/>
        </w:numPr>
        <w:shd w:val="clear" w:color="auto" w:fill="FFFFFF"/>
        <w:spacing w:after="240" w:line="240" w:lineRule="auto"/>
        <w:ind w:left="426" w:hanging="284"/>
        <w:rPr>
          <w:rFonts w:eastAsia="Times New Roman" w:cstheme="minorHAnsi"/>
          <w:color w:val="222222"/>
          <w:sz w:val="20"/>
          <w:szCs w:val="20"/>
          <w:lang w:eastAsia="pl-PL"/>
        </w:rPr>
      </w:pPr>
      <w:bookmarkStart w:id="2" w:name="_Hlk210058745"/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 xml:space="preserve">pasza bytowa dla myszy, sterylizowana promieniami gamma (pakowana próżniowo) (opakowania 2-4 kg) </w:t>
      </w:r>
      <w:bookmarkEnd w:id="2"/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– 1000 kg</w:t>
      </w:r>
    </w:p>
    <w:p w14:paraId="47F78E73" w14:textId="6D932227" w:rsidR="00837964" w:rsidRPr="00837964" w:rsidRDefault="00837964" w:rsidP="00837964">
      <w:pPr>
        <w:pStyle w:val="Akapitzlist"/>
        <w:numPr>
          <w:ilvl w:val="0"/>
          <w:numId w:val="10"/>
        </w:numPr>
        <w:shd w:val="clear" w:color="auto" w:fill="FFFFFF"/>
        <w:spacing w:after="240" w:line="240" w:lineRule="auto"/>
        <w:ind w:left="426" w:hanging="284"/>
        <w:rPr>
          <w:rFonts w:eastAsia="Times New Roman" w:cstheme="minorHAnsi"/>
          <w:color w:val="222222"/>
          <w:sz w:val="20"/>
          <w:szCs w:val="20"/>
          <w:lang w:eastAsia="pl-PL"/>
        </w:rPr>
      </w:pPr>
      <w:bookmarkStart w:id="3" w:name="_Hlk210058796"/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pasza hodowlana dla myszy, sterylizowana promieniami gamma (pakowana próżniowo) (opakowania 2-4 kg</w:t>
      </w:r>
      <w:bookmarkEnd w:id="3"/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) – 700 kg</w:t>
      </w:r>
    </w:p>
    <w:p w14:paraId="128FA60F" w14:textId="37E37ED9" w:rsidR="00837964" w:rsidRPr="00837964" w:rsidRDefault="00837964" w:rsidP="00837964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Każdorazowa dostawa następować będzie po złożeniu zamówienia określającego rodzaj paszy i jej ilość, stosownie do zapotrzebowania Zamawiającego.</w:t>
      </w:r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br/>
      </w:r>
      <w:bookmarkStart w:id="4" w:name="_Hlk210058055"/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Waga towaru umieszczonego na euro palecie nie może przekraczać 500 kg.</w:t>
      </w:r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br/>
        <w:t>Dostarczanie paszy będzie następowało do budynku Zwierzętarni, Budynek B, Zamawiającego.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Wymagamy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by towar był dostarczony na rampę (wysokość ok. 90 cm) na dziedzińcu wewnętrznym. Samochód dostawczy nie może być wyższy niż 320 cm (ze względu na przejazd przez tunel/bramę).</w:t>
      </w:r>
      <w:bookmarkEnd w:id="4"/>
    </w:p>
    <w:p w14:paraId="238822C3" w14:textId="77777777" w:rsidR="00837964" w:rsidRPr="000660B2" w:rsidRDefault="00837964" w:rsidP="008E4A0A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A037F9" w14:textId="6A1B9F40" w:rsidR="00837964" w:rsidRDefault="00837964" w:rsidP="008379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t>Nie dopuszczamy złożenia oferty na jeden rodzaj paszy.</w:t>
      </w:r>
    </w:p>
    <w:p w14:paraId="40B94985" w14:textId="77777777" w:rsidR="00C6378D" w:rsidRPr="000660B2" w:rsidRDefault="00C6378D" w:rsidP="008379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50B8AAA3" w14:textId="1F46430B" w:rsidR="00837964" w:rsidRDefault="00837964" w:rsidP="008379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Paszę stosujemy u zwierząt laboratoryjnych, zatem bardzo istotna jest dla nas gwarancja co do jakości i porównywalności stosowanej paszy. Pozwala to nam minimalizować wpływ składników wykorzystanych w produkcji paszy na zwierzęta, co potencjalnie ma przełożenie na wyniki badań doświadczalnych.</w:t>
      </w:r>
    </w:p>
    <w:p w14:paraId="6586BAA9" w14:textId="77777777" w:rsidR="00C6378D" w:rsidRDefault="00C6378D" w:rsidP="008379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787AB608" w14:textId="198DB203" w:rsidR="00837964" w:rsidRDefault="00837964" w:rsidP="008379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 xml:space="preserve">Przy każdej dostawie wymagamy dołączenia przez wykonawcę raportu potwierdzającego powtarzalność składu dostarczonej partii paszy wydanego przez laboratorium zewnętrzne (nie producenta paszy), obejmującego minimum następujące parametry: składniki surowe w paszy (białko, błonnik, tłuszcz) oraz minerały (sód, wapń i fosfor). Dopuszczalne odstępstwa to +/- 0,5% wagowego w stosunku do zadeklarowanej wartości dla składników surowych </w:t>
      </w:r>
      <w:r w:rsidR="00C6378D">
        <w:rPr>
          <w:rFonts w:eastAsia="Times New Roman" w:cstheme="minorHAnsi"/>
          <w:color w:val="222222"/>
          <w:sz w:val="20"/>
          <w:szCs w:val="20"/>
          <w:lang w:eastAsia="pl-PL"/>
        </w:rPr>
        <w:br/>
      </w:r>
      <w:r w:rsidRPr="00837964">
        <w:rPr>
          <w:rFonts w:eastAsia="Times New Roman" w:cstheme="minorHAnsi"/>
          <w:color w:val="222222"/>
          <w:sz w:val="20"/>
          <w:szCs w:val="20"/>
          <w:lang w:eastAsia="pl-PL"/>
        </w:rPr>
        <w:t>i 0,05% wagowego w stosunku do zadeklarowanej wartości w przypadku minerałów</w:t>
      </w:r>
      <w:r w:rsidR="005418CA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(opisane parametry znajdują się </w:t>
      </w:r>
      <w:r w:rsidR="00C6378D">
        <w:rPr>
          <w:rFonts w:eastAsia="Times New Roman" w:cstheme="minorHAnsi"/>
          <w:color w:val="222222"/>
          <w:sz w:val="20"/>
          <w:szCs w:val="20"/>
          <w:lang w:eastAsia="pl-PL"/>
        </w:rPr>
        <w:br/>
      </w:r>
      <w:r w:rsidR="005418CA">
        <w:rPr>
          <w:rFonts w:eastAsia="Times New Roman" w:cstheme="minorHAnsi"/>
          <w:color w:val="222222"/>
          <w:sz w:val="20"/>
          <w:szCs w:val="20"/>
          <w:lang w:eastAsia="pl-PL"/>
        </w:rPr>
        <w:t>w formularzu oferty – załącznik nr 1 do Zapytania ofertowego).</w:t>
      </w:r>
    </w:p>
    <w:p w14:paraId="23DEBA17" w14:textId="3295C399" w:rsidR="000660B2" w:rsidRDefault="000660B2" w:rsidP="008379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083414F3" w14:textId="77777777" w:rsidR="000660B2" w:rsidRPr="000660B2" w:rsidRDefault="000660B2" w:rsidP="000660B2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C6378D">
        <w:rPr>
          <w:rFonts w:eastAsia="Times New Roman" w:cstheme="minorHAnsi"/>
          <w:color w:val="222222"/>
          <w:sz w:val="20"/>
          <w:szCs w:val="20"/>
          <w:u w:val="single"/>
          <w:lang w:eastAsia="pl-PL"/>
        </w:rPr>
        <w:t>Na etapie realizacji zamówienia:</w:t>
      </w: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br/>
        <w:t>Wykonawca dołącza do każdej dostawy częściowej raporty z analiz mikrobiologicznych pasz. W przypadku wystąpienia u zwierząt objawów niedoborów (m.in. problemy z rozrodem; zmiany sierści i skórne) potwierdzonych zewnętrznymi, niezależnymi badaniami weterynaryjnymi, nastąpi rozwiązanie umowy.</w:t>
      </w:r>
    </w:p>
    <w:p w14:paraId="367D83BF" w14:textId="77777777" w:rsidR="000660B2" w:rsidRPr="00837964" w:rsidRDefault="000660B2" w:rsidP="008379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184F8A90" w14:textId="0C7531D5" w:rsidR="00837964" w:rsidRDefault="00837964" w:rsidP="008E4A0A">
      <w:pPr>
        <w:shd w:val="clear" w:color="auto" w:fill="FFFFFF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6F1933C" w14:textId="77777777" w:rsidR="005418CA" w:rsidRDefault="008E4A0A" w:rsidP="005418C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501B3D">
        <w:rPr>
          <w:rFonts w:cstheme="minorHAnsi"/>
          <w:b/>
          <w:bCs/>
          <w:sz w:val="20"/>
          <w:szCs w:val="20"/>
        </w:rPr>
        <w:t>Termin realizacji zamówienia</w:t>
      </w:r>
      <w:r w:rsidRPr="00DF3329">
        <w:rPr>
          <w:rFonts w:cstheme="minorHAnsi"/>
          <w:sz w:val="20"/>
          <w:szCs w:val="20"/>
        </w:rPr>
        <w:t xml:space="preserve">: </w:t>
      </w:r>
      <w:r w:rsidR="005418CA">
        <w:rPr>
          <w:rFonts w:cstheme="minorHAnsi"/>
          <w:sz w:val="20"/>
          <w:szCs w:val="20"/>
        </w:rPr>
        <w:t>dostawy sukcesywne (na podstawie zamówień częściowych) przez okres 12 miesięcy od daty podpisania umowy.</w:t>
      </w:r>
      <w:r w:rsidR="005418CA" w:rsidRPr="005418CA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</w:p>
    <w:p w14:paraId="31FD487E" w14:textId="0A6E8D26" w:rsidR="005418CA" w:rsidRDefault="005418CA" w:rsidP="005418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5418CA">
        <w:rPr>
          <w:rFonts w:eastAsia="Times New Roman" w:cstheme="minorHAnsi"/>
          <w:color w:val="222222"/>
          <w:sz w:val="20"/>
          <w:szCs w:val="20"/>
          <w:lang w:eastAsia="pl-PL"/>
        </w:rPr>
        <w:t>Realizacja dostawy częściowej musi wynosić nie dłużej niż 3​</w:t>
      </w:r>
      <w:r w:rsidR="009447E7">
        <w:rPr>
          <w:rFonts w:eastAsia="Times New Roman" w:cstheme="minorHAnsi"/>
          <w:color w:val="222222"/>
          <w:sz w:val="20"/>
          <w:szCs w:val="20"/>
          <w:lang w:eastAsia="pl-PL"/>
        </w:rPr>
        <w:t>5</w:t>
      </w:r>
      <w:r w:rsidRPr="005418CA">
        <w:rPr>
          <w:rFonts w:eastAsia="Times New Roman" w:cstheme="minorHAnsi"/>
          <w:color w:val="222222"/>
          <w:sz w:val="20"/>
          <w:szCs w:val="20"/>
          <w:lang w:eastAsia="pl-PL"/>
        </w:rPr>
        <w:t> dni kalendarzowych od momentu złożenia zamówienia (Termin realizacji zamówienia jest bardzo istotny dla Zamawiającego ze względu na konieczność zapewnieni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a </w:t>
      </w:r>
      <w:r w:rsidR="00042F50">
        <w:rPr>
          <w:rFonts w:eastAsia="Times New Roman" w:cstheme="minorHAnsi"/>
          <w:color w:val="222222"/>
          <w:sz w:val="20"/>
          <w:szCs w:val="20"/>
          <w:lang w:eastAsia="pl-PL"/>
        </w:rPr>
        <w:t xml:space="preserve">nieprzerwanego </w:t>
      </w:r>
      <w:r w:rsidRPr="005418CA">
        <w:rPr>
          <w:rFonts w:eastAsia="Times New Roman" w:cstheme="minorHAnsi"/>
          <w:color w:val="222222"/>
          <w:sz w:val="20"/>
          <w:szCs w:val="20"/>
          <w:lang w:eastAsia="pl-PL"/>
        </w:rPr>
        <w:t>żywienia zwierząt.). Zaoferowanie przez Wykonawcę krótszego terminu dostawy będzie dodatkowo punktowane (zgodnie z kryteriami oceny).</w:t>
      </w:r>
    </w:p>
    <w:p w14:paraId="0306BB1E" w14:textId="7C829D24" w:rsidR="005418CA" w:rsidRDefault="005418CA" w:rsidP="005418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64A509D2" w14:textId="64DB5C35" w:rsidR="005418CA" w:rsidRDefault="005418CA" w:rsidP="005418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096143"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  <w:t>Gwarancja: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 d</w:t>
      </w:r>
      <w:r w:rsidRPr="005418CA">
        <w:rPr>
          <w:rFonts w:eastAsia="Times New Roman" w:cstheme="minorHAnsi"/>
          <w:color w:val="222222"/>
          <w:sz w:val="20"/>
          <w:szCs w:val="20"/>
          <w:lang w:eastAsia="pl-PL"/>
        </w:rPr>
        <w:t>ługość terminu ważności pasz to minimum</w:t>
      </w:r>
      <w:r w:rsidR="00E94727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5418CA">
        <w:rPr>
          <w:rFonts w:eastAsia="Times New Roman" w:cstheme="minorHAnsi"/>
          <w:color w:val="222222"/>
          <w:sz w:val="20"/>
          <w:szCs w:val="20"/>
          <w:lang w:eastAsia="pl-PL"/>
        </w:rPr>
        <w:t xml:space="preserve">6 miesięcy od daty dostarczenia </w:t>
      </w:r>
      <w:r w:rsidR="00096143">
        <w:rPr>
          <w:rFonts w:eastAsia="Times New Roman" w:cstheme="minorHAnsi"/>
          <w:color w:val="222222"/>
          <w:sz w:val="20"/>
          <w:szCs w:val="20"/>
          <w:lang w:eastAsia="pl-PL"/>
        </w:rPr>
        <w:t xml:space="preserve">częściowego zamówienia </w:t>
      </w:r>
      <w:r w:rsidRPr="005418CA">
        <w:rPr>
          <w:rFonts w:eastAsia="Times New Roman" w:cstheme="minorHAnsi"/>
          <w:color w:val="222222"/>
          <w:sz w:val="20"/>
          <w:szCs w:val="20"/>
          <w:lang w:eastAsia="pl-PL"/>
        </w:rPr>
        <w:t>do zamawiającego</w:t>
      </w:r>
      <w:r w:rsidR="004F2BCB">
        <w:rPr>
          <w:rFonts w:eastAsia="Times New Roman" w:cstheme="minorHAnsi"/>
          <w:color w:val="222222"/>
          <w:sz w:val="20"/>
          <w:szCs w:val="20"/>
          <w:lang w:eastAsia="pl-PL"/>
        </w:rPr>
        <w:t>.</w:t>
      </w:r>
    </w:p>
    <w:p w14:paraId="5D45021E" w14:textId="77777777" w:rsidR="00096143" w:rsidRPr="005418CA" w:rsidRDefault="00096143" w:rsidP="005418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</w:p>
    <w:p w14:paraId="587AAFF1" w14:textId="65FFDA44" w:rsidR="005418CA" w:rsidRDefault="005418CA" w:rsidP="005418C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</w:pPr>
      <w:r w:rsidRPr="005418CA"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  <w:t>II Warunki udziału w postępowaniu</w:t>
      </w:r>
    </w:p>
    <w:p w14:paraId="07591414" w14:textId="77777777" w:rsidR="000660B2" w:rsidRDefault="000660B2" w:rsidP="000660B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284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bookmarkStart w:id="5" w:name="_Hlk210056589"/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t>Producent zaoferowanych pasz musi posiadać wdrożony system zarządzania jakością, w obszarze osiągania zgodności wyrobów z wymaganiami oraz zadowolenia klienta (dotyczy w szczególności  zapewnienia wysokiej jakości oraz powtarzalności produkowanej paszy), zgodnie z wymaganiami normy ISO 9001:2015 lub nowszej.</w:t>
      </w: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br/>
        <w:t xml:space="preserve">W załączeniu do oferty należy przedstawić  certyfikat ISO 9001:2015 (lub nowszy) producenta każdej 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br/>
      </w: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t>z zaoferowanych pasz, lub inny równoważny certyfikat w tym zakresie (potwierdzający posiadany system zarządzania jakością w ww. obszarze).</w:t>
      </w:r>
    </w:p>
    <w:bookmarkEnd w:id="5"/>
    <w:p w14:paraId="37C456CB" w14:textId="77777777" w:rsidR="000660B2" w:rsidRDefault="000660B2" w:rsidP="000660B2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t>Uzasadnienie powyższego wymagania:</w:t>
      </w:r>
    </w:p>
    <w:p w14:paraId="7BC1E87C" w14:textId="77777777" w:rsidR="000660B2" w:rsidRDefault="000660B2" w:rsidP="000660B2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t>Zakup przeznaczony jest dla zwierząt laboratoryjnych wykorzystywanych w celach doświadczalnych. Zwierzęta te muszą być hodowane w sposób zapewniający im dobrostan, obejmujący zdrowie fizyczne i psychiczne, jak również w warunkach jak najbardziej stałych, aby zminimalizować wpływ innych czynników poza doświadczalnymi na wyniki badań. Instytutowa Zwierzętarnia zobligowana jest do zapewnienia  odpowiedniej jakości warunków bytowych, w tym karmy spełniającej najwyższe parametry jakościowe.</w:t>
      </w:r>
    </w:p>
    <w:p w14:paraId="04758B97" w14:textId="021C7008" w:rsidR="000660B2" w:rsidRDefault="000660B2" w:rsidP="000660B2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t>Gryzonie laboratoryjne charakteryzują się specyficznymi cechami  genetycznymi uzyskanymi w drodze odpowiedniej hodowli, stanowiąc tzw. "organizmy modelowe". Instytut posiada zezwolenie na prowadzenie zakładów inżynierii genetycznej, a w Instytutowej Zwierzętarni prowadzi się m.in.</w:t>
      </w:r>
      <w:r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t>hodowlę myszy (szczepy: C57Bl/6, BALB/c, FVB, 129SvHSD oraz linie transgeniczne) i szczurów (szczepy: Wistar, Long Evans, SD, WAG oraz linie transgeniczne). Są to zwierzęta bardzo wrażliwe, negatywnie reagujące na wszelkie zmiany.  Zamawiający prowadzi badania w zakresie biologii i nauk biomedycznych, nurt badań skupia się na nowych terapiach oraz metodach diagnostycznych w zakresie chorób neurodegeneracyjnych, zaburzeń metabolicznych, nowotworów i innych schorzeń, a badania prowadzone są na materiale komórkowym jak i żywym.  Pracownie naukowe Instytutu muszą mieć nieprzerwany dostęp do materiału badawczego w eksperymencie.</w:t>
      </w:r>
    </w:p>
    <w:p w14:paraId="369ABBEA" w14:textId="77777777" w:rsidR="000660B2" w:rsidRDefault="000660B2" w:rsidP="000660B2">
      <w:pPr>
        <w:pStyle w:val="Akapitzlist"/>
        <w:shd w:val="clear" w:color="auto" w:fill="FFFFFF"/>
        <w:spacing w:after="0" w:line="240" w:lineRule="auto"/>
        <w:ind w:left="426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t>Dbałość o uzyskanie odpowiednich parametrów paszy znalazła również odzwierciedlenie w opisie przedmiotu zamówienia i warunkach umowy (porównywalność składu w każdej z dostaw i konsekwencje jej braku).</w:t>
      </w: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br/>
        <w:t>Posiadanie przez producenta paszy certyfikatu jakości we wskazanym obszarze stanowi gwarancję jakości i porównywalności paszy i stanowi w niniejszym zamówieniu dokument przedmiotowy (nie podmiotowy), bo posiadanie przez producenta certyfikatu dot. zarządzania jakością w organizacji przekłada się na wytwarzany produkt.</w:t>
      </w:r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br/>
        <w:t>Z zasady certyfikacji dokonuje organizacja w celu udowodnienia jakości swojej działalności i upublicznienia posiadanego certyfikatu. Uzyskanie takiego dokumentu przez wykonawcę zamówienia nie będącego producentem (będącego dostawcą produktu) wg naszej oceny nie stanowi trudności - rzetelnemu dostawcy, producent udostępni wszelkie dowody swojej rzetelności.</w:t>
      </w:r>
    </w:p>
    <w:p w14:paraId="3F937D39" w14:textId="77777777" w:rsidR="00C6378D" w:rsidRDefault="000660B2" w:rsidP="00C6378D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284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bookmarkStart w:id="6" w:name="_Hlk210056708"/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t>Wykonawcy muszą przedstawić oryginalne katalogi producenta zawierające szczegółowe opisy parametrów oferowanej paszy (zamawiający dopuszcza wskazanie linku na stronie producenta).</w:t>
      </w:r>
    </w:p>
    <w:p w14:paraId="5CF95EBB" w14:textId="4184C6FC" w:rsidR="000660B2" w:rsidRDefault="00C6378D" w:rsidP="007F0CD5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426" w:hanging="284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bookmarkStart w:id="7" w:name="_Hlk210056867"/>
      <w:bookmarkEnd w:id="6"/>
      <w:r w:rsidRPr="000660B2">
        <w:rPr>
          <w:rFonts w:eastAsia="Times New Roman" w:cstheme="minorHAnsi"/>
          <w:color w:val="222222"/>
          <w:sz w:val="20"/>
          <w:szCs w:val="20"/>
          <w:lang w:eastAsia="pl-PL"/>
        </w:rPr>
        <w:t xml:space="preserve">Wykonawcy w ciągu ostatnich 5 lat </w:t>
      </w:r>
      <w:r w:rsidRPr="007F0CD5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wykonali należycie co najmniej 5 zrealizowanych zamówień na paszę dla</w:t>
      </w:r>
      <w:r w:rsidR="00042F50" w:rsidRPr="007F0CD5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g</w:t>
      </w:r>
      <w:r w:rsidRPr="007F0CD5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ryzoni</w:t>
      </w:r>
      <w:r w:rsidR="00042F50" w:rsidRPr="007F0CD5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</w:t>
      </w:r>
      <w:r w:rsidRPr="007F0CD5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laboratoryjnych</w:t>
      </w:r>
      <w:bookmarkEnd w:id="7"/>
      <w:r w:rsidR="00042F50" w:rsidRPr="007F0CD5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 </w:t>
      </w:r>
      <w:r w:rsidR="007F0CD5" w:rsidRPr="007F0CD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na kwotę nie mniejszą niż 100 000 PLN brutto każda (Zamawiający wymaga dokumentów</w:t>
      </w:r>
      <w:r w:rsidR="007F0CD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</w:t>
      </w:r>
      <w:r w:rsidR="007F0CD5" w:rsidRPr="007F0CD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podpisanych przez podmioty, dla których Wykonawca należycie zrealizował zamówienia).</w:t>
      </w:r>
      <w:r w:rsidR="000660B2" w:rsidRPr="000660B2">
        <w:rPr>
          <w:rFonts w:eastAsia="Times New Roman" w:cstheme="minorHAnsi"/>
          <w:color w:val="222222"/>
          <w:sz w:val="20"/>
          <w:szCs w:val="20"/>
          <w:lang w:eastAsia="pl-PL"/>
        </w:rPr>
        <w:br/>
      </w:r>
    </w:p>
    <w:p w14:paraId="7F4EF4E1" w14:textId="374D0A5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</w:t>
      </w:r>
      <w:r w:rsidR="00C6378D">
        <w:rPr>
          <w:rFonts w:cstheme="minorHAnsi"/>
          <w:b/>
          <w:bCs/>
          <w:sz w:val="20"/>
          <w:szCs w:val="20"/>
        </w:rPr>
        <w:t>I</w:t>
      </w:r>
      <w:r w:rsidRPr="002329A0">
        <w:rPr>
          <w:rFonts w:cstheme="minorHAnsi"/>
          <w:b/>
          <w:bCs/>
          <w:sz w:val="20"/>
          <w:szCs w:val="20"/>
        </w:rPr>
        <w:t>I Kryteria oceny ofert</w:t>
      </w:r>
    </w:p>
    <w:p w14:paraId="667E99C4" w14:textId="18B3A35D" w:rsidR="009C50BD" w:rsidRDefault="009C50BD" w:rsidP="009C50B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4536FA">
        <w:rPr>
          <w:rFonts w:ascii="Calibri" w:hAnsi="Calibri" w:cstheme="minorHAnsi"/>
          <w:sz w:val="20"/>
          <w:szCs w:val="20"/>
        </w:rPr>
        <w:t xml:space="preserve">Przy wyborze Zamawiający będzie się kierował </w:t>
      </w:r>
      <w:r w:rsidR="00C6378D">
        <w:rPr>
          <w:rFonts w:ascii="Calibri" w:hAnsi="Calibri" w:cstheme="minorHAnsi"/>
          <w:sz w:val="20"/>
          <w:szCs w:val="20"/>
        </w:rPr>
        <w:t xml:space="preserve">następującym </w:t>
      </w:r>
      <w:r>
        <w:rPr>
          <w:rFonts w:ascii="Calibri" w:hAnsi="Calibri" w:cstheme="minorHAnsi"/>
          <w:sz w:val="20"/>
          <w:szCs w:val="20"/>
        </w:rPr>
        <w:t>kryter</w:t>
      </w:r>
      <w:r w:rsidR="003C7282">
        <w:rPr>
          <w:rFonts w:ascii="Calibri" w:hAnsi="Calibri" w:cstheme="minorHAnsi"/>
          <w:sz w:val="20"/>
          <w:szCs w:val="20"/>
        </w:rPr>
        <w:t xml:space="preserve">ium </w:t>
      </w:r>
      <w:r w:rsidR="00C6378D">
        <w:rPr>
          <w:rFonts w:ascii="Calibri" w:hAnsi="Calibri" w:cstheme="minorHAnsi"/>
          <w:sz w:val="20"/>
          <w:szCs w:val="20"/>
        </w:rPr>
        <w:t xml:space="preserve">oceny </w:t>
      </w:r>
      <w:r>
        <w:rPr>
          <w:rFonts w:ascii="Calibri" w:hAnsi="Calibri" w:cstheme="minorHAnsi"/>
          <w:sz w:val="20"/>
          <w:szCs w:val="20"/>
        </w:rPr>
        <w:t>pod warunkiem spełnienia wymagań określonych</w:t>
      </w:r>
      <w:r w:rsidR="00C6378D"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t>w pkt. I.</w:t>
      </w:r>
      <w:r w:rsidR="003C7282">
        <w:rPr>
          <w:rFonts w:ascii="Calibri" w:hAnsi="Calibri" w:cstheme="minorHAnsi"/>
          <w:sz w:val="20"/>
          <w:szCs w:val="20"/>
        </w:rPr>
        <w:t xml:space="preserve"> Opisie Przedmiotu Zamówienia</w:t>
      </w:r>
      <w:r w:rsidR="00C6378D">
        <w:rPr>
          <w:rFonts w:ascii="Calibri" w:hAnsi="Calibri" w:cstheme="minorHAnsi"/>
          <w:sz w:val="20"/>
          <w:szCs w:val="20"/>
        </w:rPr>
        <w:t xml:space="preserve"> oraz II. Warunków udziału w postępowaniu.</w:t>
      </w:r>
    </w:p>
    <w:p w14:paraId="3E8EF10A" w14:textId="3458F30E" w:rsidR="00C6378D" w:rsidRDefault="00C6378D" w:rsidP="004E54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Kryterium: </w:t>
      </w:r>
      <w:r w:rsidRPr="004F11B3">
        <w:rPr>
          <w:rFonts w:ascii="Calibri" w:hAnsi="Calibri" w:cstheme="minorHAnsi"/>
          <w:sz w:val="20"/>
          <w:szCs w:val="20"/>
          <w:u w:val="single"/>
        </w:rPr>
        <w:t xml:space="preserve">Cena </w:t>
      </w:r>
      <w:r w:rsidRPr="004F11B3">
        <w:rPr>
          <w:rFonts w:ascii="Calibri" w:hAnsi="Calibri" w:cstheme="minorHAnsi"/>
          <w:sz w:val="20"/>
          <w:szCs w:val="20"/>
        </w:rPr>
        <w:t>– 60 pkt.</w:t>
      </w:r>
    </w:p>
    <w:p w14:paraId="35A07A9F" w14:textId="504E6F71" w:rsidR="004E54E8" w:rsidRPr="004E54E8" w:rsidRDefault="004E54E8" w:rsidP="004E54E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 w:rsidRPr="004E54E8">
        <w:rPr>
          <w:rFonts w:ascii="Calibri" w:hAnsi="Calibri" w:cstheme="minorHAnsi"/>
          <w:sz w:val="20"/>
          <w:szCs w:val="20"/>
        </w:rPr>
        <w:t xml:space="preserve">Ilość punktów = cena </w:t>
      </w:r>
      <w:r w:rsidR="002F3C9E">
        <w:rPr>
          <w:rFonts w:ascii="Calibri" w:hAnsi="Calibri" w:cstheme="minorHAnsi"/>
          <w:sz w:val="20"/>
          <w:szCs w:val="20"/>
        </w:rPr>
        <w:t>minimalna</w:t>
      </w:r>
      <w:r w:rsidRPr="004E54E8">
        <w:rPr>
          <w:rFonts w:ascii="Calibri" w:hAnsi="Calibri" w:cstheme="minorHAnsi"/>
          <w:sz w:val="20"/>
          <w:szCs w:val="20"/>
        </w:rPr>
        <w:t xml:space="preserve">/cena badanej </w:t>
      </w:r>
      <w:r w:rsidR="002F3C9E">
        <w:rPr>
          <w:rFonts w:ascii="Calibri" w:hAnsi="Calibri" w:cstheme="minorHAnsi"/>
          <w:sz w:val="20"/>
          <w:szCs w:val="20"/>
        </w:rPr>
        <w:t xml:space="preserve">oferty x </w:t>
      </w:r>
      <w:r w:rsidRPr="004E54E8">
        <w:rPr>
          <w:rFonts w:ascii="Calibri" w:hAnsi="Calibri" w:cstheme="minorHAnsi"/>
          <w:sz w:val="20"/>
          <w:szCs w:val="20"/>
        </w:rPr>
        <w:t>6</w:t>
      </w:r>
      <w:r>
        <w:rPr>
          <w:rFonts w:ascii="Calibri" w:hAnsi="Calibri" w:cstheme="minorHAnsi"/>
          <w:sz w:val="20"/>
          <w:szCs w:val="20"/>
        </w:rPr>
        <w:t>0</w:t>
      </w:r>
    </w:p>
    <w:p w14:paraId="629292A2" w14:textId="77777777" w:rsidR="004E54E8" w:rsidRDefault="004E54E8" w:rsidP="004F11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</w:p>
    <w:p w14:paraId="0DF4C578" w14:textId="35283553" w:rsidR="00C6378D" w:rsidRDefault="00C6378D" w:rsidP="004F11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Kryterium: </w:t>
      </w:r>
      <w:r w:rsidRPr="004F11B3">
        <w:rPr>
          <w:rFonts w:ascii="Calibri" w:hAnsi="Calibri" w:cstheme="minorHAnsi"/>
          <w:sz w:val="20"/>
          <w:szCs w:val="20"/>
          <w:u w:val="single"/>
        </w:rPr>
        <w:t>Termin dostarczenia zamówienia</w:t>
      </w:r>
      <w:r>
        <w:rPr>
          <w:rFonts w:ascii="Calibri" w:hAnsi="Calibri" w:cstheme="minorHAnsi"/>
          <w:sz w:val="20"/>
          <w:szCs w:val="20"/>
        </w:rPr>
        <w:t xml:space="preserve"> </w:t>
      </w:r>
    </w:p>
    <w:p w14:paraId="6B2C82BB" w14:textId="546DAE2C" w:rsidR="00C6378D" w:rsidRDefault="004F11B3" w:rsidP="00C6378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 xml:space="preserve">- </w:t>
      </w:r>
      <w:r w:rsidR="00C6378D">
        <w:rPr>
          <w:rFonts w:ascii="Calibri" w:hAnsi="Calibri" w:cstheme="minorHAnsi"/>
          <w:sz w:val="20"/>
          <w:szCs w:val="20"/>
        </w:rPr>
        <w:t>czas realizacji (dostawy) częściowych zamówień do 21 dni kalendarzowych lub krócej od daty złożenia zamówienia – 20 pkt.</w:t>
      </w:r>
    </w:p>
    <w:p w14:paraId="437E86A9" w14:textId="3CCF4A6A" w:rsidR="00C6378D" w:rsidRDefault="00C6378D" w:rsidP="004F11B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- czas realizacji (dostawy) częściowych zamówień do 28 dni kalendarzowych od daty złożenia zamówienia – 10 pkt.</w:t>
      </w:r>
    </w:p>
    <w:p w14:paraId="12DD859E" w14:textId="30DA73A7" w:rsidR="00C6378D" w:rsidRDefault="004F11B3" w:rsidP="00C6378D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t>- czas realizacji (dostawy) częściowych zamówień do 35 dni kalendarzowych od daty złożenia zamówienia – 0 pkt.</w:t>
      </w:r>
    </w:p>
    <w:p w14:paraId="5DAFB1E3" w14:textId="7850B82A" w:rsidR="004F11B3" w:rsidRPr="004F11B3" w:rsidRDefault="004F11B3" w:rsidP="004F11B3">
      <w:pPr>
        <w:pStyle w:val="Tekstpodstawowy"/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Calibri" w:hAnsi="Calibri" w:cstheme="minorHAnsi"/>
          <w:sz w:val="20"/>
          <w:szCs w:val="20"/>
        </w:rPr>
        <w:lastRenderedPageBreak/>
        <w:t xml:space="preserve">Kryterium: </w:t>
      </w:r>
      <w:r w:rsidRPr="004F11B3">
        <w:rPr>
          <w:rFonts w:ascii="Calibri" w:hAnsi="Calibri" w:cstheme="minorHAnsi"/>
          <w:sz w:val="20"/>
          <w:szCs w:val="20"/>
          <w:u w:val="single"/>
        </w:rPr>
        <w:t xml:space="preserve">Wielkość </w:t>
      </w:r>
      <w:r w:rsidRPr="004F11B3">
        <w:rPr>
          <w:rFonts w:asciiTheme="minorHAnsi" w:hAnsiTheme="minorHAnsi" w:cstheme="minorHAnsi"/>
          <w:bCs/>
          <w:sz w:val="20"/>
          <w:szCs w:val="20"/>
          <w:u w:val="single"/>
        </w:rPr>
        <w:t xml:space="preserve">opakowań paszy bytowej dla myszy, sterylizowanej promieniami gamma (pakowanej próżniowo) </w:t>
      </w:r>
      <w:r>
        <w:rPr>
          <w:rFonts w:asciiTheme="minorHAnsi" w:hAnsiTheme="minorHAnsi" w:cstheme="minorHAnsi"/>
          <w:bCs/>
          <w:sz w:val="20"/>
          <w:szCs w:val="20"/>
          <w:u w:val="single"/>
        </w:rPr>
        <w:br/>
      </w:r>
      <w:r w:rsidRPr="004F11B3">
        <w:rPr>
          <w:rFonts w:asciiTheme="minorHAnsi" w:hAnsiTheme="minorHAnsi" w:cstheme="minorHAnsi"/>
          <w:bCs/>
          <w:sz w:val="20"/>
          <w:szCs w:val="20"/>
          <w:u w:val="single"/>
        </w:rPr>
        <w:t>i paszy hodowlanej dla myszy, sterylizowanej promieniami gamma (pakowanej próżniowo)</w:t>
      </w:r>
    </w:p>
    <w:p w14:paraId="3699AD7C" w14:textId="77777777" w:rsidR="004F11B3" w:rsidRPr="004F11B3" w:rsidRDefault="004F11B3" w:rsidP="004F11B3">
      <w:pPr>
        <w:rPr>
          <w:rFonts w:cstheme="minorHAnsi"/>
          <w:sz w:val="20"/>
          <w:szCs w:val="20"/>
        </w:rPr>
      </w:pPr>
      <w:r w:rsidRPr="004F11B3">
        <w:rPr>
          <w:rFonts w:cstheme="minorHAnsi"/>
          <w:sz w:val="20"/>
          <w:szCs w:val="20"/>
        </w:rPr>
        <w:t>Zapotrzebowanie na mniejsze opakowania podyktowane jest specyfiką prowadzonych eksperymentów i</w:t>
      </w:r>
      <w:r w:rsidRPr="004F11B3">
        <w:rPr>
          <w:rFonts w:cstheme="minorHAnsi"/>
          <w:sz w:val="20"/>
          <w:szCs w:val="20"/>
          <w:shd w:val="clear" w:color="auto" w:fill="FFFFFF"/>
        </w:rPr>
        <w:t xml:space="preserve"> zmiennym zużyciem, w celu zachowania właściwości paszy po jej otwarciu.</w:t>
      </w:r>
    </w:p>
    <w:p w14:paraId="05330DF2" w14:textId="22B8176E" w:rsidR="004F11B3" w:rsidRPr="004F11B3" w:rsidRDefault="004F11B3" w:rsidP="004F11B3">
      <w:pPr>
        <w:spacing w:after="0" w:line="240" w:lineRule="auto"/>
        <w:rPr>
          <w:rFonts w:cstheme="minorHAnsi"/>
          <w:sz w:val="20"/>
          <w:szCs w:val="20"/>
        </w:rPr>
      </w:pPr>
      <w:r w:rsidRPr="004F11B3">
        <w:rPr>
          <w:rFonts w:cstheme="minorHAnsi"/>
          <w:sz w:val="20"/>
          <w:szCs w:val="20"/>
        </w:rPr>
        <w:t>- Opakowania 2-3 kg – 20 pkt.</w:t>
      </w:r>
    </w:p>
    <w:p w14:paraId="60DB2B99" w14:textId="21A374EB" w:rsidR="004F11B3" w:rsidRPr="004F11B3" w:rsidRDefault="004F11B3" w:rsidP="004F11B3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4F11B3">
        <w:rPr>
          <w:rFonts w:cstheme="minorHAnsi"/>
          <w:sz w:val="20"/>
          <w:szCs w:val="20"/>
        </w:rPr>
        <w:t>- Opakowania 3,1-4 kg – 0 pkt.</w:t>
      </w:r>
    </w:p>
    <w:p w14:paraId="34E824B6" w14:textId="49306DA6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4F11B3">
        <w:rPr>
          <w:rFonts w:cstheme="minorHAnsi"/>
          <w:b/>
          <w:bCs/>
          <w:sz w:val="20"/>
          <w:szCs w:val="20"/>
        </w:rPr>
        <w:t>V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48D52532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3400C927" w14:textId="46EB0634"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15779D">
        <w:rPr>
          <w:rFonts w:cstheme="minorHAnsi"/>
          <w:sz w:val="20"/>
          <w:szCs w:val="20"/>
        </w:rPr>
        <w:t xml:space="preserve"> oraz ceny za poszczególne pasze. </w:t>
      </w:r>
    </w:p>
    <w:p w14:paraId="1D31BCC7" w14:textId="77777777" w:rsidR="0080646B" w:rsidRPr="00BD2DEF" w:rsidRDefault="0080646B" w:rsidP="00806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  <w:lang w:eastAsia="pl-PL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 jest cena za całość wykonanego zamówienia.</w:t>
      </w:r>
    </w:p>
    <w:p w14:paraId="1823EF71" w14:textId="19DBB003" w:rsidR="0080646B" w:rsidRPr="00BD2DEF" w:rsidRDefault="0080646B" w:rsidP="00806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 xml:space="preserve">Podana w ofercie cena musi uwzględniać wszystkie wymagania Zamawiającego określone w zapytaniu ofertowym oraz obejmować wszelkie koszty, jakie poniesie Wykonawca z tytułu należytego oraz zgodnego z umową </w:t>
      </w:r>
      <w:r w:rsidR="009E28A2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i obowiązującymi przepisami wykonania przedmiotu zamówienia a także ewentualne upusty i rabaty zastosowane przez Wykonawcę.</w:t>
      </w:r>
    </w:p>
    <w:p w14:paraId="35A59107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Cena w ofercie Wykonawcy musi być wy</w:t>
      </w:r>
      <w:r w:rsidR="00B36FF6">
        <w:rPr>
          <w:rFonts w:eastAsia="Times New Roman" w:cs="Tahoma"/>
          <w:bCs/>
          <w:iCs/>
          <w:sz w:val="20"/>
          <w:szCs w:val="20"/>
          <w:lang w:eastAsia="pl-PL"/>
        </w:rPr>
        <w:t>rażona w złotych polskich (PLN).</w:t>
      </w:r>
    </w:p>
    <w:p w14:paraId="2BB97E41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Cenę w ofercie należy określać z dokładnością do dwóch miejsc po przecinku.</w:t>
      </w:r>
    </w:p>
    <w:p w14:paraId="062D4CBF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12E5F9A8" w14:textId="1BFC1B5D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 xml:space="preserve">Jeżeli złożono ofertę, której wybór prowadzi do powstania u Zamawiającego obowiązku podatkowego zgodnie </w:t>
      </w:r>
      <w:r w:rsidR="009E28A2">
        <w:rPr>
          <w:rFonts w:eastAsia="Times New Roman" w:cs="Tahoma"/>
          <w:iCs/>
          <w:sz w:val="20"/>
          <w:szCs w:val="20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lang w:eastAsia="pl-PL"/>
        </w:rPr>
        <w:t>z przepisami o podatku od towarów i usług, Zamawiający w celu oceny takiej oferty doliczy do przedstawionej w niej ceny podatek od towarów i usług, który miałby obowiązek rozliczyć zgodnie z tymi przepisami. </w:t>
      </w:r>
    </w:p>
    <w:p w14:paraId="1BA75356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7D34D1A5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cstheme="minorHAnsi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Zamawiający nie dopuszcza rozliczeń w walutach obcych.</w:t>
      </w:r>
    </w:p>
    <w:p w14:paraId="01133968" w14:textId="77777777" w:rsidR="008E4A0A" w:rsidRDefault="008E4A0A" w:rsidP="008E4A0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80646B">
        <w:rPr>
          <w:rFonts w:cstheme="minorHAnsi"/>
          <w:color w:val="000000"/>
          <w:sz w:val="20"/>
          <w:szCs w:val="20"/>
        </w:rPr>
        <w:t>Oferty należy przesyłać elektronicznie w postaci</w:t>
      </w:r>
      <w:r>
        <w:rPr>
          <w:rFonts w:cstheme="minorHAnsi"/>
          <w:color w:val="000000"/>
          <w:sz w:val="20"/>
          <w:szCs w:val="20"/>
        </w:rPr>
        <w:t>:</w:t>
      </w:r>
    </w:p>
    <w:p w14:paraId="598DED06" w14:textId="77777777" w:rsidR="008E4A0A" w:rsidRPr="00260294" w:rsidRDefault="008E4A0A" w:rsidP="008E4A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>zeskanowanej oferty oryginalnej podpisanej przez osobę uprawnioną do reprezentowania wykonawcy lub</w:t>
      </w:r>
    </w:p>
    <w:p w14:paraId="34CAD965" w14:textId="77777777" w:rsidR="008E4A0A" w:rsidRPr="00260294" w:rsidRDefault="008E4A0A" w:rsidP="008E4A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>oferty podpisanej podpisem zaufanym przez osobę uprawnioną do reprezentowania wykonawcy lub</w:t>
      </w:r>
    </w:p>
    <w:p w14:paraId="6502D14E" w14:textId="77777777" w:rsidR="008E4A0A" w:rsidRPr="00260294" w:rsidRDefault="008E4A0A" w:rsidP="008E4A0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right="-2" w:hanging="14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 podpisanej podpisem kwalifikowanym przez osobę uprawnioną do reprezentowania wykonawcy </w:t>
      </w:r>
    </w:p>
    <w:p w14:paraId="3954E351" w14:textId="43B2A034" w:rsidR="0020531F" w:rsidRDefault="008E4A0A" w:rsidP="0020531F">
      <w:pPr>
        <w:pStyle w:val="Akapitzlist"/>
        <w:autoSpaceDE w:val="0"/>
        <w:autoSpaceDN w:val="0"/>
        <w:adjustRightInd w:val="0"/>
        <w:spacing w:after="0" w:line="240" w:lineRule="auto"/>
        <w:ind w:left="425" w:right="544"/>
        <w:jc w:val="both"/>
        <w:rPr>
          <w:rStyle w:val="Hipercze"/>
          <w:rFonts w:asciiTheme="minorHAnsi" w:hAnsiTheme="minorHAnsi" w:cstheme="minorHAnsi"/>
          <w:sz w:val="20"/>
          <w:szCs w:val="20"/>
        </w:rPr>
      </w:pPr>
      <w:r w:rsidRPr="00260294">
        <w:rPr>
          <w:rFonts w:asciiTheme="minorHAnsi" w:hAnsiTheme="minorHAnsi" w:cstheme="minorHAnsi"/>
          <w:color w:val="000000"/>
          <w:sz w:val="20"/>
          <w:szCs w:val="20"/>
        </w:rPr>
        <w:t xml:space="preserve">Oferty w ww. formie należy przesyłać  pocztą elektroniczną na adres: </w:t>
      </w:r>
      <w:hyperlink r:id="rId8" w:history="1"/>
      <w:r w:rsidRPr="008E4A0A">
        <w:t xml:space="preserve"> </w:t>
      </w:r>
      <w:hyperlink r:id="rId9" w:history="1">
        <w:r w:rsidRPr="003A5B23">
          <w:rPr>
            <w:rStyle w:val="Hipercze"/>
            <w:rFonts w:cstheme="minorHAnsi"/>
            <w:sz w:val="20"/>
            <w:szCs w:val="20"/>
          </w:rPr>
          <w:t>b.kaszlikowski@nencki.edu.pl</w:t>
        </w:r>
      </w:hyperlink>
      <w:r w:rsidRPr="009D7FA7">
        <w:rPr>
          <w:rStyle w:val="Hipercze"/>
          <w:rFonts w:cstheme="minorHAnsi"/>
          <w:sz w:val="20"/>
          <w:szCs w:val="20"/>
        </w:rPr>
        <w:t>.</w:t>
      </w:r>
      <w:r w:rsidRPr="00260294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</w:p>
    <w:p w14:paraId="132AEA9A" w14:textId="260A0CCD" w:rsidR="0020531F" w:rsidRPr="0020531F" w:rsidRDefault="00066223" w:rsidP="0020531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b/>
          <w:bCs/>
          <w:color w:val="222222"/>
          <w:sz w:val="20"/>
          <w:szCs w:val="20"/>
          <w:shd w:val="clear" w:color="auto" w:fill="FFFFFF"/>
        </w:rPr>
      </w:pPr>
      <w:r w:rsidRPr="0020531F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8E4A0A" w:rsidRPr="0020531F">
        <w:rPr>
          <w:rFonts w:cstheme="minorHAnsi"/>
          <w:b/>
          <w:bCs/>
          <w:color w:val="000000"/>
          <w:sz w:val="20"/>
          <w:szCs w:val="20"/>
        </w:rPr>
        <w:t>Oferta</w:t>
      </w:r>
      <w:r w:rsidR="002943B2">
        <w:rPr>
          <w:rFonts w:cstheme="minorHAnsi"/>
          <w:b/>
          <w:bCs/>
          <w:color w:val="000000"/>
          <w:sz w:val="20"/>
          <w:szCs w:val="20"/>
        </w:rPr>
        <w:t xml:space="preserve"> na s</w:t>
      </w:r>
      <w:r w:rsidR="004932B3" w:rsidRPr="0020531F">
        <w:rPr>
          <w:rFonts w:cstheme="minorHAnsi"/>
          <w:b/>
          <w:bCs/>
          <w:color w:val="000000"/>
          <w:sz w:val="20"/>
          <w:szCs w:val="20"/>
        </w:rPr>
        <w:t>ukcesywn</w:t>
      </w:r>
      <w:r w:rsidR="0020531F" w:rsidRPr="0020531F">
        <w:rPr>
          <w:rFonts w:cstheme="minorHAnsi"/>
          <w:b/>
          <w:bCs/>
          <w:color w:val="000000"/>
          <w:sz w:val="20"/>
          <w:szCs w:val="20"/>
        </w:rPr>
        <w:t>y zakup i dostawa pasz dla gryzoni laboratoryjnych (mysz, szczur)</w:t>
      </w:r>
      <w:r w:rsidR="0020531F">
        <w:rPr>
          <w:rFonts w:cstheme="minorHAnsi"/>
          <w:b/>
          <w:bCs/>
          <w:color w:val="000000"/>
          <w:sz w:val="20"/>
          <w:szCs w:val="20"/>
        </w:rPr>
        <w:t>.</w:t>
      </w:r>
    </w:p>
    <w:p w14:paraId="68600634" w14:textId="77777777" w:rsidR="00D46521" w:rsidRPr="0080646B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46DAE1F1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61AA75A" w14:textId="31B28212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w ofertach oczywistych omyłek rachunkowych, pisarskich lub innych oczywistych omyłek zamawiający poprawi te omyłki na zasadach określonych w ustawie PZP (poprzez przesłanie stosownej informacji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e-mail na adres Wykonawcy wskazany w ofercie).</w:t>
      </w:r>
    </w:p>
    <w:p w14:paraId="57930880" w14:textId="0C52016A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EBA0A6A" w14:textId="410CE9B1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ofercie).</w:t>
      </w:r>
    </w:p>
    <w:p w14:paraId="022E5E47" w14:textId="7BD96EC4"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</w:t>
      </w:r>
      <w:r w:rsidR="00987B1F"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odrzuceniu.</w:t>
      </w:r>
    </w:p>
    <w:p w14:paraId="47E36E22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7B04EBDC" w14:textId="1BBFFD45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06D96224" w14:textId="462F72EB" w:rsidR="00D46521" w:rsidRPr="00E97AF2" w:rsidRDefault="00D46521" w:rsidP="005F50FE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-22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</w:t>
      </w:r>
      <w:r w:rsidR="002943B2">
        <w:rPr>
          <w:rFonts w:asciiTheme="minorHAnsi" w:hAnsiTheme="minorHAnsi" w:cstheme="minorHAnsi"/>
          <w:sz w:val="20"/>
          <w:szCs w:val="20"/>
        </w:rPr>
        <w:t xml:space="preserve"> na okres 12 miesięcy.</w:t>
      </w:r>
    </w:p>
    <w:p w14:paraId="5C96C56F" w14:textId="3CE94287" w:rsidR="00D46521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Maksymalny termin</w:t>
      </w:r>
      <w:r w:rsidR="004932B3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 xml:space="preserve">realizacji </w:t>
      </w:r>
      <w:r w:rsidR="004932B3">
        <w:rPr>
          <w:rFonts w:cstheme="minorHAnsi"/>
          <w:sz w:val="20"/>
          <w:szCs w:val="20"/>
        </w:rPr>
        <w:t xml:space="preserve">częściowego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2943B2">
        <w:rPr>
          <w:rFonts w:cstheme="minorHAnsi"/>
          <w:sz w:val="20"/>
          <w:szCs w:val="20"/>
        </w:rPr>
        <w:t>3</w:t>
      </w:r>
      <w:r w:rsidR="00455E89">
        <w:rPr>
          <w:rFonts w:cstheme="minorHAnsi"/>
          <w:sz w:val="20"/>
          <w:szCs w:val="20"/>
        </w:rPr>
        <w:t>5</w:t>
      </w:r>
      <w:r w:rsidR="002943B2">
        <w:rPr>
          <w:rFonts w:cstheme="minorHAnsi"/>
          <w:sz w:val="20"/>
          <w:szCs w:val="20"/>
        </w:rPr>
        <w:t xml:space="preserve"> dni kalendarzowych od daty złożenia zamówienia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14:paraId="1F2122AC" w14:textId="77777777" w:rsidR="00D46521" w:rsidRPr="002329A0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553BD0D0" w14:textId="77777777" w:rsidR="00D46521" w:rsidRPr="002329A0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72C69B78" w14:textId="77777777" w:rsidR="00D46521" w:rsidRPr="006D0C28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14:paraId="4847379D" w14:textId="77777777" w:rsidR="006D0C28" w:rsidRPr="006D0C28" w:rsidRDefault="006D0C28" w:rsidP="006D0C2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5" w:right="-46" w:hanging="425"/>
        <w:jc w:val="both"/>
        <w:rPr>
          <w:rFonts w:cstheme="minorHAnsi"/>
          <w:sz w:val="20"/>
          <w:szCs w:val="20"/>
        </w:rPr>
      </w:pPr>
      <w:r w:rsidRPr="006D0C28">
        <w:rPr>
          <w:rFonts w:eastAsia="Times New Roman" w:cstheme="minorHAnsi"/>
          <w:iCs/>
          <w:sz w:val="20"/>
          <w:szCs w:val="20"/>
          <w:lang w:eastAsia="pl-PL"/>
        </w:rPr>
        <w:lastRenderedPageBreak/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6F2D66F6" w14:textId="77777777" w:rsidR="006D0C28" w:rsidRPr="00C01E4F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BD3DEE8" w14:textId="77777777" w:rsidR="006D0C28" w:rsidRPr="00C01E4F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1B47B7" w14:textId="77777777" w:rsidR="006D0C28" w:rsidRPr="00293787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</w:t>
      </w: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wymieniony w wykazach określonych w rozporządzeniu 765/2006 i rozporządzeniu 269/2014 albo wpisany</w:t>
      </w:r>
      <w:r w:rsidRPr="0029378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na listę lub będący taką jednostką dominującą od dnia 24 lutego 2022 r., o ile został wpisany na listę na podstawie decyzji w sprawie wpisu na listę rozstrzygającej o zastosowaniu środka, o którym mowa w art. 1 pkt 3 ustawy"</w:t>
      </w:r>
    </w:p>
    <w:p w14:paraId="42BF3651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</w:t>
      </w:r>
      <w:r w:rsidR="00A91BEA">
        <w:rPr>
          <w:rFonts w:asciiTheme="minorHAnsi" w:hAnsiTheme="minorHAnsi" w:cstheme="minorHAnsi"/>
          <w:color w:val="365F91"/>
        </w:rPr>
        <w:t xml:space="preserve">Warszawa, </w:t>
      </w:r>
      <w:hyperlink r:id="rId10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65472D">
      <w:pgSz w:w="11906" w:h="16838"/>
      <w:pgMar w:top="709" w:right="707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36AF4"/>
    <w:multiLevelType w:val="hybridMultilevel"/>
    <w:tmpl w:val="D14A97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027953"/>
    <w:multiLevelType w:val="hybridMultilevel"/>
    <w:tmpl w:val="B6F2D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51A83"/>
    <w:multiLevelType w:val="hybridMultilevel"/>
    <w:tmpl w:val="7D64E8E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60338"/>
    <w:multiLevelType w:val="hybridMultilevel"/>
    <w:tmpl w:val="3514A8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E29E4"/>
    <w:multiLevelType w:val="hybridMultilevel"/>
    <w:tmpl w:val="88FA53A8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7573A"/>
    <w:multiLevelType w:val="hybridMultilevel"/>
    <w:tmpl w:val="1988DFE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5053B"/>
    <w:multiLevelType w:val="hybridMultilevel"/>
    <w:tmpl w:val="C212D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02CC"/>
    <w:rsid w:val="00002DF9"/>
    <w:rsid w:val="000040A2"/>
    <w:rsid w:val="00013D40"/>
    <w:rsid w:val="00014A7D"/>
    <w:rsid w:val="00022033"/>
    <w:rsid w:val="00024E4A"/>
    <w:rsid w:val="00025784"/>
    <w:rsid w:val="00036753"/>
    <w:rsid w:val="000373D6"/>
    <w:rsid w:val="00042F50"/>
    <w:rsid w:val="000578F2"/>
    <w:rsid w:val="00057CAC"/>
    <w:rsid w:val="000660B2"/>
    <w:rsid w:val="00066223"/>
    <w:rsid w:val="00070B92"/>
    <w:rsid w:val="000735C6"/>
    <w:rsid w:val="000768E4"/>
    <w:rsid w:val="00092BB7"/>
    <w:rsid w:val="00093439"/>
    <w:rsid w:val="00096143"/>
    <w:rsid w:val="000A0556"/>
    <w:rsid w:val="000A685F"/>
    <w:rsid w:val="000B1F68"/>
    <w:rsid w:val="000B401E"/>
    <w:rsid w:val="000C487B"/>
    <w:rsid w:val="000E2B1D"/>
    <w:rsid w:val="000E6B29"/>
    <w:rsid w:val="00101140"/>
    <w:rsid w:val="001107AF"/>
    <w:rsid w:val="00114678"/>
    <w:rsid w:val="001167CF"/>
    <w:rsid w:val="00121E35"/>
    <w:rsid w:val="00131D6E"/>
    <w:rsid w:val="00156F9F"/>
    <w:rsid w:val="0015779D"/>
    <w:rsid w:val="00160E80"/>
    <w:rsid w:val="00161AF0"/>
    <w:rsid w:val="0016315A"/>
    <w:rsid w:val="00170F5D"/>
    <w:rsid w:val="0017773D"/>
    <w:rsid w:val="00191C89"/>
    <w:rsid w:val="001B3D27"/>
    <w:rsid w:val="001B693D"/>
    <w:rsid w:val="001C1619"/>
    <w:rsid w:val="001C7747"/>
    <w:rsid w:val="001D2366"/>
    <w:rsid w:val="001F4965"/>
    <w:rsid w:val="001F4D1B"/>
    <w:rsid w:val="001F53B8"/>
    <w:rsid w:val="0020531F"/>
    <w:rsid w:val="00224A85"/>
    <w:rsid w:val="002329A0"/>
    <w:rsid w:val="002417F2"/>
    <w:rsid w:val="002621ED"/>
    <w:rsid w:val="00272CA1"/>
    <w:rsid w:val="00277B05"/>
    <w:rsid w:val="00287785"/>
    <w:rsid w:val="002943B2"/>
    <w:rsid w:val="002B1283"/>
    <w:rsid w:val="002D27FC"/>
    <w:rsid w:val="002D50E9"/>
    <w:rsid w:val="002D7E8B"/>
    <w:rsid w:val="002E3D49"/>
    <w:rsid w:val="002F36F0"/>
    <w:rsid w:val="002F3C9E"/>
    <w:rsid w:val="002F4851"/>
    <w:rsid w:val="002F5B99"/>
    <w:rsid w:val="0031188A"/>
    <w:rsid w:val="0032085F"/>
    <w:rsid w:val="00331225"/>
    <w:rsid w:val="00334083"/>
    <w:rsid w:val="003411CA"/>
    <w:rsid w:val="00357E00"/>
    <w:rsid w:val="003707D8"/>
    <w:rsid w:val="0037508B"/>
    <w:rsid w:val="00376886"/>
    <w:rsid w:val="003769C9"/>
    <w:rsid w:val="003A1604"/>
    <w:rsid w:val="003B35F4"/>
    <w:rsid w:val="003C7282"/>
    <w:rsid w:val="003C7ACD"/>
    <w:rsid w:val="003D0ED6"/>
    <w:rsid w:val="003D71D1"/>
    <w:rsid w:val="003E0548"/>
    <w:rsid w:val="0041226F"/>
    <w:rsid w:val="004125AF"/>
    <w:rsid w:val="00413612"/>
    <w:rsid w:val="00447ED3"/>
    <w:rsid w:val="00455E89"/>
    <w:rsid w:val="00472333"/>
    <w:rsid w:val="0047345F"/>
    <w:rsid w:val="00473FBD"/>
    <w:rsid w:val="004932B3"/>
    <w:rsid w:val="0049371E"/>
    <w:rsid w:val="004962BA"/>
    <w:rsid w:val="004A2ECD"/>
    <w:rsid w:val="004B5D19"/>
    <w:rsid w:val="004E19FE"/>
    <w:rsid w:val="004E54E8"/>
    <w:rsid w:val="004F11B3"/>
    <w:rsid w:val="004F1791"/>
    <w:rsid w:val="004F2BCB"/>
    <w:rsid w:val="005110EB"/>
    <w:rsid w:val="005418CA"/>
    <w:rsid w:val="005458A3"/>
    <w:rsid w:val="00552367"/>
    <w:rsid w:val="005523CA"/>
    <w:rsid w:val="00567BB3"/>
    <w:rsid w:val="00597660"/>
    <w:rsid w:val="005A7808"/>
    <w:rsid w:val="005C58BF"/>
    <w:rsid w:val="005D06D1"/>
    <w:rsid w:val="005D1198"/>
    <w:rsid w:val="005D39BB"/>
    <w:rsid w:val="005E2E2E"/>
    <w:rsid w:val="005E6E56"/>
    <w:rsid w:val="005F50FE"/>
    <w:rsid w:val="00603C0B"/>
    <w:rsid w:val="00617B64"/>
    <w:rsid w:val="00621C2D"/>
    <w:rsid w:val="00625468"/>
    <w:rsid w:val="00640B83"/>
    <w:rsid w:val="0065323E"/>
    <w:rsid w:val="0065472D"/>
    <w:rsid w:val="00663E13"/>
    <w:rsid w:val="00665F4B"/>
    <w:rsid w:val="00673F65"/>
    <w:rsid w:val="00682235"/>
    <w:rsid w:val="00696279"/>
    <w:rsid w:val="006A383D"/>
    <w:rsid w:val="006D0C28"/>
    <w:rsid w:val="006F0D7A"/>
    <w:rsid w:val="0070569B"/>
    <w:rsid w:val="0072085D"/>
    <w:rsid w:val="00724676"/>
    <w:rsid w:val="007379BA"/>
    <w:rsid w:val="00745294"/>
    <w:rsid w:val="00757123"/>
    <w:rsid w:val="00777A7E"/>
    <w:rsid w:val="00792012"/>
    <w:rsid w:val="007D7C13"/>
    <w:rsid w:val="007E6F66"/>
    <w:rsid w:val="007E74D5"/>
    <w:rsid w:val="007F0CD5"/>
    <w:rsid w:val="00801B77"/>
    <w:rsid w:val="0080646B"/>
    <w:rsid w:val="00813170"/>
    <w:rsid w:val="008248A9"/>
    <w:rsid w:val="008265C6"/>
    <w:rsid w:val="00826A03"/>
    <w:rsid w:val="00837964"/>
    <w:rsid w:val="00844203"/>
    <w:rsid w:val="00877AC7"/>
    <w:rsid w:val="008E4A0A"/>
    <w:rsid w:val="00926F5C"/>
    <w:rsid w:val="009420F9"/>
    <w:rsid w:val="009447E7"/>
    <w:rsid w:val="0096270C"/>
    <w:rsid w:val="0097005B"/>
    <w:rsid w:val="00983DF8"/>
    <w:rsid w:val="009862C5"/>
    <w:rsid w:val="009869D8"/>
    <w:rsid w:val="00987B1F"/>
    <w:rsid w:val="009932DE"/>
    <w:rsid w:val="009A7EC5"/>
    <w:rsid w:val="009B3C0E"/>
    <w:rsid w:val="009C4BB1"/>
    <w:rsid w:val="009C50BD"/>
    <w:rsid w:val="009D3C7A"/>
    <w:rsid w:val="009D7FA7"/>
    <w:rsid w:val="009E06EB"/>
    <w:rsid w:val="009E28A2"/>
    <w:rsid w:val="00A2681A"/>
    <w:rsid w:val="00A3529B"/>
    <w:rsid w:val="00A67081"/>
    <w:rsid w:val="00A91BEA"/>
    <w:rsid w:val="00AB1A6E"/>
    <w:rsid w:val="00AB28C1"/>
    <w:rsid w:val="00AB4116"/>
    <w:rsid w:val="00AB45E2"/>
    <w:rsid w:val="00AB6D22"/>
    <w:rsid w:val="00AC02D6"/>
    <w:rsid w:val="00AE166F"/>
    <w:rsid w:val="00B00ACA"/>
    <w:rsid w:val="00B05731"/>
    <w:rsid w:val="00B063C5"/>
    <w:rsid w:val="00B15E7A"/>
    <w:rsid w:val="00B160E9"/>
    <w:rsid w:val="00B16F5F"/>
    <w:rsid w:val="00B36FF6"/>
    <w:rsid w:val="00B53CA2"/>
    <w:rsid w:val="00B626CB"/>
    <w:rsid w:val="00B7342E"/>
    <w:rsid w:val="00B86E8B"/>
    <w:rsid w:val="00B96674"/>
    <w:rsid w:val="00BC35E5"/>
    <w:rsid w:val="00C01E4F"/>
    <w:rsid w:val="00C30276"/>
    <w:rsid w:val="00C50385"/>
    <w:rsid w:val="00C570F9"/>
    <w:rsid w:val="00C627A8"/>
    <w:rsid w:val="00C6378D"/>
    <w:rsid w:val="00C67FC2"/>
    <w:rsid w:val="00C75189"/>
    <w:rsid w:val="00C863B9"/>
    <w:rsid w:val="00CA3C2E"/>
    <w:rsid w:val="00CA7B4E"/>
    <w:rsid w:val="00CB083D"/>
    <w:rsid w:val="00CB47F6"/>
    <w:rsid w:val="00CD476A"/>
    <w:rsid w:val="00CD57CE"/>
    <w:rsid w:val="00CF3025"/>
    <w:rsid w:val="00D30D79"/>
    <w:rsid w:val="00D34219"/>
    <w:rsid w:val="00D3656F"/>
    <w:rsid w:val="00D46521"/>
    <w:rsid w:val="00D5246C"/>
    <w:rsid w:val="00D5283B"/>
    <w:rsid w:val="00D7193D"/>
    <w:rsid w:val="00D71D7E"/>
    <w:rsid w:val="00D74DA9"/>
    <w:rsid w:val="00D77ABA"/>
    <w:rsid w:val="00D84C77"/>
    <w:rsid w:val="00D85F6F"/>
    <w:rsid w:val="00D97CBD"/>
    <w:rsid w:val="00DA277C"/>
    <w:rsid w:val="00DC127E"/>
    <w:rsid w:val="00DC426F"/>
    <w:rsid w:val="00DC7A1A"/>
    <w:rsid w:val="00DD6FD5"/>
    <w:rsid w:val="00DF5CAB"/>
    <w:rsid w:val="00E01E99"/>
    <w:rsid w:val="00E022B1"/>
    <w:rsid w:val="00E05200"/>
    <w:rsid w:val="00E2257D"/>
    <w:rsid w:val="00E468E5"/>
    <w:rsid w:val="00E74D0B"/>
    <w:rsid w:val="00E809E8"/>
    <w:rsid w:val="00E9199D"/>
    <w:rsid w:val="00E94727"/>
    <w:rsid w:val="00E97663"/>
    <w:rsid w:val="00E97AF2"/>
    <w:rsid w:val="00EA0B71"/>
    <w:rsid w:val="00EB1F27"/>
    <w:rsid w:val="00EC081B"/>
    <w:rsid w:val="00F07E4B"/>
    <w:rsid w:val="00F24277"/>
    <w:rsid w:val="00F24B4A"/>
    <w:rsid w:val="00F407D2"/>
    <w:rsid w:val="00F84EF9"/>
    <w:rsid w:val="00F85CD8"/>
    <w:rsid w:val="00F93523"/>
    <w:rsid w:val="00F97E2A"/>
    <w:rsid w:val="00FA0A99"/>
    <w:rsid w:val="00FA1A42"/>
    <w:rsid w:val="00FB1DE6"/>
    <w:rsid w:val="00FB70DA"/>
    <w:rsid w:val="00FC102B"/>
    <w:rsid w:val="00FC7BB9"/>
    <w:rsid w:val="00FD7429"/>
    <w:rsid w:val="00FE0A10"/>
    <w:rsid w:val="00FE264D"/>
    <w:rsid w:val="00FF1B0F"/>
    <w:rsid w:val="00FF36D0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2CDA"/>
  <w15:docId w15:val="{43AB64E5-410A-454A-B7BC-3311375D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4122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1226F"/>
    <w:pPr>
      <w:keepNext/>
      <w:spacing w:after="0" w:line="240" w:lineRule="auto"/>
      <w:ind w:right="-663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34"/>
    <w:locked/>
    <w:rsid w:val="00472333"/>
    <w:rPr>
      <w:rFonts w:ascii="Calibri" w:eastAsia="Calibri" w:hAnsi="Calibri" w:cs="Times New Roman"/>
    </w:rPr>
  </w:style>
  <w:style w:type="character" w:customStyle="1" w:styleId="im">
    <w:name w:val="im"/>
    <w:basedOn w:val="Domylnaczcionkaakapitu"/>
    <w:rsid w:val="00FC102B"/>
  </w:style>
  <w:style w:type="character" w:customStyle="1" w:styleId="Nagwek3Znak">
    <w:name w:val="Nagłówek 3 Znak"/>
    <w:basedOn w:val="Domylnaczcionkaakapitu"/>
    <w:link w:val="Nagwek3"/>
    <w:rsid w:val="00412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12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C5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2621ED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621ED"/>
    <w:pPr>
      <w:shd w:val="clear" w:color="auto" w:fill="FFFFFF"/>
      <w:spacing w:after="0" w:line="240" w:lineRule="atLeast"/>
    </w:pPr>
    <w:rPr>
      <w:sz w:val="17"/>
    </w:rPr>
  </w:style>
  <w:style w:type="character" w:customStyle="1" w:styleId="apple-converted-space">
    <w:name w:val="apple-converted-space"/>
    <w:rsid w:val="009D3C7A"/>
  </w:style>
  <w:style w:type="paragraph" w:styleId="Tekstpodstawowy">
    <w:name w:val="Body Text"/>
    <w:basedOn w:val="Normalny"/>
    <w:link w:val="TekstpodstawowyZnak"/>
    <w:semiHidden/>
    <w:unhideWhenUsed/>
    <w:rsid w:val="004F11B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F11B3"/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b.kaszlikowski@nencki.edu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edu.pl_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kaszlikowski@nencki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DFC3-AA98-43FD-A1CA-8F7AF3A0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2008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64</cp:revision>
  <cp:lastPrinted>2022-08-31T11:52:00Z</cp:lastPrinted>
  <dcterms:created xsi:type="dcterms:W3CDTF">2024-06-03T10:15:00Z</dcterms:created>
  <dcterms:modified xsi:type="dcterms:W3CDTF">2025-10-01T12:57:00Z</dcterms:modified>
</cp:coreProperties>
</file>